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03DC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55F120">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A105948">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6838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114AAC">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7AF2B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86A78F6">
                  <w:pPr>
                    <w:pStyle w:val="5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163772B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30</w:t>
            </w:r>
            <w:r>
              <w:rPr>
                <w:rFonts w:ascii="黑体" w:hAnsi="黑体" w:eastAsia="黑体"/>
                <w:sz w:val="21"/>
                <w:szCs w:val="21"/>
              </w:rPr>
              <w:fldChar w:fldCharType="end"/>
            </w:r>
            <w:bookmarkEnd w:id="2"/>
          </w:p>
        </w:tc>
      </w:tr>
    </w:tbl>
    <w:p w14:paraId="590EF055">
      <w:pPr>
        <w:pStyle w:val="54"/>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D26E48A">
      <w:pPr>
        <w:pStyle w:val="199"/>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81A5F0B">
      <w:pPr>
        <w:pStyle w:val="200"/>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6BD0BD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D7B8DE6">
      <w:pPr>
        <w:pStyle w:val="54"/>
        <w:framePr w:w="9639" w:h="6976" w:hRule="exact" w:hSpace="0" w:vSpace="0" w:wrap="around" w:hAnchor="page" w:y="6408"/>
        <w:jc w:val="center"/>
        <w:rPr>
          <w:rFonts w:hint="eastAsia" w:ascii="黑体" w:hAnsi="黑体" w:eastAsia="黑体"/>
          <w:b w:val="0"/>
          <w:bCs w:val="0"/>
          <w:w w:val="100"/>
        </w:rPr>
      </w:pPr>
    </w:p>
    <w:p w14:paraId="57FF67C7">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val="en"/>
        </w:rPr>
        <w:t>望谟芒果</w:t>
      </w:r>
      <w:r>
        <w:rPr>
          <w:rFonts w:hint="eastAsia"/>
        </w:rPr>
        <w:t xml:space="preserve">  </w:t>
      </w:r>
      <w:r>
        <w:rPr>
          <w:rFonts w:hint="eastAsia"/>
          <w:lang w:val="en"/>
        </w:rPr>
        <w:t>主要病虫害绿色防控技术规程</w:t>
      </w:r>
      <w:r>
        <w:fldChar w:fldCharType="end"/>
      </w:r>
      <w:bookmarkEnd w:id="9"/>
    </w:p>
    <w:p w14:paraId="7C3D121C">
      <w:pPr>
        <w:framePr w:w="9639" w:h="6974" w:hRule="exact" w:wrap="around" w:vAnchor="page" w:hAnchor="page" w:x="1419" w:y="6408" w:anchorLock="1"/>
        <w:ind w:left="-1418"/>
      </w:pPr>
    </w:p>
    <w:p w14:paraId="4DECADB0">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Wangmo Mango Green Prevention and Control Technical Regulations of Main Pests and Diseases</w:t>
      </w:r>
      <w:r>
        <w:rPr>
          <w:rFonts w:eastAsia="黑体"/>
          <w:szCs w:val="28"/>
        </w:rPr>
        <w:fldChar w:fldCharType="end"/>
      </w:r>
      <w:bookmarkEnd w:id="10"/>
    </w:p>
    <w:p w14:paraId="0BD019F9">
      <w:pPr>
        <w:framePr w:w="9639" w:h="6974" w:hRule="exact" w:wrap="around" w:vAnchor="page" w:hAnchor="page" w:x="1419" w:y="6408" w:anchorLock="1"/>
        <w:spacing w:line="760" w:lineRule="exact"/>
        <w:ind w:left="-1418"/>
      </w:pPr>
    </w:p>
    <w:p w14:paraId="4981218D">
      <w:pPr>
        <w:pStyle w:val="129"/>
        <w:framePr w:w="9639" w:h="6974" w:hRule="exact" w:wrap="around" w:vAnchor="page" w:hAnchor="page" w:x="1419" w:y="6408" w:anchorLock="1"/>
        <w:textAlignment w:val="bottom"/>
        <w:rPr>
          <w:rFonts w:eastAsia="黑体"/>
          <w:szCs w:val="28"/>
        </w:rPr>
      </w:pPr>
    </w:p>
    <w:p w14:paraId="79F0EB9F">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A8C24F4">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D727796">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B629242">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F919C81">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02DF958">
      <w:pPr>
        <w:pStyle w:val="155"/>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2EC3A82B">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F818750">
      <w:pPr>
        <w:outlineLvl w:val="1"/>
        <w:rPr>
          <w:rFonts w:hint="eastAsia"/>
        </w:rPr>
      </w:pPr>
      <w:bookmarkStart w:id="21" w:name="BookMark2"/>
    </w:p>
    <w:p w14:paraId="0730EA72">
      <w:pPr>
        <w:pStyle w:val="93"/>
        <w:spacing w:before="900" w:after="360"/>
      </w:pPr>
      <w:bookmarkStart w:id="22" w:name="_Ref186805010"/>
      <w:r>
        <w:rPr>
          <w:spacing w:val="320"/>
        </w:rPr>
        <w:t>前</w:t>
      </w:r>
      <w:r>
        <w:t>言</w:t>
      </w:r>
      <w:bookmarkEnd w:id="22"/>
    </w:p>
    <w:p w14:paraId="7A9EDDD8">
      <w:pPr>
        <w:pStyle w:val="60"/>
        <w:ind w:firstLine="420"/>
      </w:pPr>
      <w:r>
        <w:t>本文件按照GB/T 1.1—2020《标准化工作导则  第1部分：标准化文件的结构和起草规则》的规定起草。</w:t>
      </w:r>
    </w:p>
    <w:p w14:paraId="68BA8705">
      <w:pPr>
        <w:pStyle w:val="60"/>
        <w:ind w:firstLine="420"/>
      </w:pPr>
      <w:r>
        <w:rPr>
          <w:rFonts w:hint="eastAsia"/>
        </w:rPr>
        <w:t>《望谟芒果》系列标准分为以下</w:t>
      </w:r>
      <w:r>
        <w:t> 9 </w:t>
      </w:r>
      <w:r>
        <w:rPr>
          <w:rFonts w:hint="eastAsia"/>
        </w:rPr>
        <w:t>个部分：</w:t>
      </w:r>
    </w:p>
    <w:p w14:paraId="56DACBD8">
      <w:pPr>
        <w:pStyle w:val="60"/>
        <w:ind w:firstLine="420"/>
      </w:pPr>
      <w:r>
        <w:rPr>
          <w:rFonts w:hint="eastAsia"/>
        </w:rPr>
        <w:t>——第</w:t>
      </w:r>
      <w:r>
        <w:t> 1 </w:t>
      </w:r>
      <w:r>
        <w:rPr>
          <w:rFonts w:hint="eastAsia"/>
        </w:rPr>
        <w:t>部分</w:t>
      </w:r>
      <w:r>
        <w:t xml:space="preserve">  </w:t>
      </w:r>
      <w:r>
        <w:rPr>
          <w:rFonts w:hint="eastAsia"/>
        </w:rPr>
        <w:t>望谟芒果；</w:t>
      </w:r>
    </w:p>
    <w:p w14:paraId="22CAEF11">
      <w:pPr>
        <w:pStyle w:val="60"/>
        <w:ind w:firstLine="420"/>
      </w:pPr>
      <w:r>
        <w:rPr>
          <w:rFonts w:hint="eastAsia"/>
        </w:rPr>
        <w:t>——第</w:t>
      </w:r>
      <w:r>
        <w:t> 2 </w:t>
      </w:r>
      <w:r>
        <w:rPr>
          <w:rFonts w:hint="eastAsia"/>
        </w:rPr>
        <w:t>部分</w:t>
      </w:r>
      <w:r>
        <w:t xml:space="preserve">  </w:t>
      </w:r>
      <w:r>
        <w:rPr>
          <w:rFonts w:hint="eastAsia"/>
        </w:rPr>
        <w:t>品牌使用管理规范；</w:t>
      </w:r>
    </w:p>
    <w:p w14:paraId="5E423198">
      <w:pPr>
        <w:pStyle w:val="60"/>
        <w:ind w:firstLine="420"/>
      </w:pPr>
      <w:r>
        <w:rPr>
          <w:rFonts w:hint="eastAsia"/>
        </w:rPr>
        <w:t>——第</w:t>
      </w:r>
      <w:r>
        <w:t> 3 </w:t>
      </w:r>
      <w:r>
        <w:rPr>
          <w:rFonts w:hint="eastAsia"/>
        </w:rPr>
        <w:t>部分</w:t>
      </w:r>
      <w:r>
        <w:t xml:space="preserve">  </w:t>
      </w:r>
      <w:r>
        <w:rPr>
          <w:rFonts w:hint="eastAsia"/>
        </w:rPr>
        <w:t>栽培技术规程；</w:t>
      </w:r>
    </w:p>
    <w:p w14:paraId="2C758CEE">
      <w:pPr>
        <w:pStyle w:val="60"/>
        <w:ind w:firstLine="420"/>
      </w:pPr>
      <w:r>
        <w:rPr>
          <w:rFonts w:hint="eastAsia"/>
        </w:rPr>
        <w:t>——第</w:t>
      </w:r>
      <w:r>
        <w:t> 4 </w:t>
      </w:r>
      <w:r>
        <w:rPr>
          <w:rFonts w:hint="eastAsia"/>
        </w:rPr>
        <w:t>部分</w:t>
      </w:r>
      <w:r>
        <w:t xml:space="preserve">  </w:t>
      </w:r>
      <w:r>
        <w:rPr>
          <w:rFonts w:hint="eastAsia"/>
        </w:rPr>
        <w:t>丰产树形培育技术规程；</w:t>
      </w:r>
    </w:p>
    <w:p w14:paraId="34AC51D7">
      <w:pPr>
        <w:pStyle w:val="60"/>
        <w:ind w:firstLine="420"/>
      </w:pPr>
      <w:r>
        <w:rPr>
          <w:rFonts w:hint="eastAsia"/>
        </w:rPr>
        <w:t>——第</w:t>
      </w:r>
      <w:r>
        <w:t> 5 </w:t>
      </w:r>
      <w:r>
        <w:rPr>
          <w:rFonts w:hint="eastAsia"/>
        </w:rPr>
        <w:t>部分</w:t>
      </w:r>
      <w:r>
        <w:t xml:space="preserve">  </w:t>
      </w:r>
      <w:r>
        <w:rPr>
          <w:rFonts w:hint="eastAsia"/>
        </w:rPr>
        <w:t>套袋技术规程；</w:t>
      </w:r>
    </w:p>
    <w:p w14:paraId="51CC749B">
      <w:pPr>
        <w:pStyle w:val="60"/>
        <w:ind w:firstLine="420"/>
      </w:pPr>
      <w:r>
        <w:rPr>
          <w:rFonts w:hint="eastAsia"/>
        </w:rPr>
        <w:t>——第</w:t>
      </w:r>
      <w:r>
        <w:t> 6 </w:t>
      </w:r>
      <w:r>
        <w:rPr>
          <w:rFonts w:hint="eastAsia"/>
        </w:rPr>
        <w:t>部分</w:t>
      </w:r>
      <w:r>
        <w:t xml:space="preserve">  </w:t>
      </w:r>
      <w:r>
        <w:rPr>
          <w:rFonts w:hint="eastAsia"/>
        </w:rPr>
        <w:t>主要病虫害绿色防控技术规程；</w:t>
      </w:r>
    </w:p>
    <w:p w14:paraId="2BA22D6F">
      <w:pPr>
        <w:pStyle w:val="60"/>
        <w:ind w:firstLine="420"/>
      </w:pPr>
      <w:r>
        <w:rPr>
          <w:rFonts w:hint="eastAsia"/>
        </w:rPr>
        <w:t>——第</w:t>
      </w:r>
      <w:r>
        <w:t> 7 </w:t>
      </w:r>
      <w:r>
        <w:rPr>
          <w:rFonts w:hint="eastAsia"/>
        </w:rPr>
        <w:t>部分</w:t>
      </w:r>
      <w:r>
        <w:t xml:space="preserve">  </w:t>
      </w:r>
      <w:r>
        <w:rPr>
          <w:rFonts w:hint="eastAsia"/>
        </w:rPr>
        <w:t>高接换种技术规程；</w:t>
      </w:r>
    </w:p>
    <w:p w14:paraId="07B5CDF9">
      <w:pPr>
        <w:pStyle w:val="60"/>
        <w:ind w:firstLine="420"/>
      </w:pPr>
      <w:r>
        <w:rPr>
          <w:rFonts w:hint="eastAsia"/>
        </w:rPr>
        <w:t>——第</w:t>
      </w:r>
      <w:r>
        <w:t> 8 </w:t>
      </w:r>
      <w:r>
        <w:rPr>
          <w:rFonts w:hint="eastAsia"/>
        </w:rPr>
        <w:t>部分</w:t>
      </w:r>
      <w:r>
        <w:t xml:space="preserve">  </w:t>
      </w:r>
      <w:r>
        <w:rPr>
          <w:rFonts w:hint="eastAsia"/>
        </w:rPr>
        <w:t>采收与贮运技术规范；</w:t>
      </w:r>
    </w:p>
    <w:p w14:paraId="731C6C11">
      <w:pPr>
        <w:pStyle w:val="60"/>
        <w:ind w:firstLine="420"/>
      </w:pPr>
      <w:r>
        <w:rPr>
          <w:rFonts w:hint="eastAsia"/>
        </w:rPr>
        <w:t>——第</w:t>
      </w:r>
      <w:r>
        <w:t> 9 </w:t>
      </w:r>
      <w:r>
        <w:rPr>
          <w:rFonts w:hint="eastAsia"/>
        </w:rPr>
        <w:t>部分</w:t>
      </w:r>
      <w:r>
        <w:t xml:space="preserve">  </w:t>
      </w:r>
      <w:r>
        <w:rPr>
          <w:rFonts w:hint="eastAsia"/>
        </w:rPr>
        <w:t>包装标识技术规范。</w:t>
      </w:r>
    </w:p>
    <w:p w14:paraId="362C633E">
      <w:pPr>
        <w:pStyle w:val="60"/>
        <w:ind w:firstLine="420"/>
        <w:rPr>
          <w:rFonts w:hint="eastAsia"/>
        </w:rPr>
      </w:pPr>
      <w:r>
        <w:rPr>
          <w:rFonts w:hint="eastAsia"/>
        </w:rPr>
        <w:t>本部分为《望谟芒果》团体标准体系的第</w:t>
      </w:r>
      <w:r>
        <w:t> </w:t>
      </w:r>
      <w:r>
        <w:rPr>
          <w:rFonts w:hint="eastAsia"/>
        </w:rPr>
        <w:t>6</w:t>
      </w:r>
      <w:r>
        <w:t> </w:t>
      </w:r>
      <w:r>
        <w:rPr>
          <w:rFonts w:hint="eastAsia"/>
        </w:rPr>
        <w:t>部分。</w:t>
      </w:r>
    </w:p>
    <w:p w14:paraId="3BB19DC8">
      <w:pPr>
        <w:pStyle w:val="60"/>
        <w:ind w:firstLine="420"/>
      </w:pPr>
      <w:r>
        <w:rPr>
          <w:rFonts w:hint="eastAsia"/>
        </w:rPr>
        <w:t>请注意本文件的某些内容可能涉及专利。本文件的发布机构不承担识别专利的责任。</w:t>
      </w:r>
    </w:p>
    <w:p w14:paraId="27FED44E">
      <w:pPr>
        <w:pStyle w:val="60"/>
        <w:ind w:firstLine="420"/>
      </w:pPr>
      <w:r>
        <w:t>本文件由</w:t>
      </w:r>
      <w:r>
        <w:rPr>
          <w:rFonts w:hint="eastAsia"/>
        </w:rPr>
        <w:t>中国热带作物学会</w:t>
      </w:r>
      <w:r>
        <w:t>提出</w:t>
      </w:r>
      <w:r>
        <w:rPr>
          <w:rFonts w:hint="eastAsia"/>
        </w:rPr>
        <w:t>并归口</w:t>
      </w:r>
      <w:r>
        <w:t>。</w:t>
      </w:r>
    </w:p>
    <w:p w14:paraId="76237539">
      <w:pPr>
        <w:pStyle w:val="60"/>
        <w:ind w:firstLine="420"/>
      </w:pPr>
      <w:r>
        <w:t>本文件起草单位：</w:t>
      </w:r>
      <w:r>
        <w:rPr>
          <w:rFonts w:hint="eastAsia"/>
        </w:rPr>
        <w:t>贵州省亚热带作物研究所、望谟县农业农村局、中国热带农业科学院热带作物品种资源研究所、蔗香镇农业农村综合服务中心。</w:t>
      </w:r>
    </w:p>
    <w:p w14:paraId="4954F116">
      <w:pPr>
        <w:pStyle w:val="60"/>
        <w:ind w:firstLine="420"/>
      </w:pPr>
      <w:r>
        <w:t>本文件主要起草人：</w:t>
      </w:r>
      <w:r>
        <w:rPr>
          <w:rFonts w:hint="eastAsia"/>
        </w:rPr>
        <w:t>黄海、张正学、王忠泽、刘荣、林迓、杨春、龚雪海、王光兰、谢伦、韦堂倩、朱　敏、吴再春、肖年、张飞。</w:t>
      </w:r>
    </w:p>
    <w:p w14:paraId="5AB1A9B0">
      <w:pPr>
        <w:pStyle w:val="60"/>
        <w:ind w:firstLine="420"/>
      </w:pPr>
    </w:p>
    <w:p w14:paraId="6CC7B6D3">
      <w:pPr>
        <w:pStyle w:val="60"/>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21"/>
    <w:p w14:paraId="4F27D536">
      <w:pPr>
        <w:pStyle w:val="93"/>
        <w:spacing w:after="360"/>
        <w:rPr>
          <w:rFonts w:hint="eastAsia"/>
        </w:rPr>
      </w:pPr>
      <w:bookmarkStart w:id="23" w:name="BookMark3"/>
      <w:r>
        <w:rPr>
          <w:rFonts w:hint="eastAsia"/>
          <w:spacing w:val="320"/>
        </w:rPr>
        <w:t>引</w:t>
      </w:r>
      <w:r>
        <w:rPr>
          <w:rFonts w:hint="eastAsia"/>
        </w:rPr>
        <w:t>言</w:t>
      </w:r>
    </w:p>
    <w:p w14:paraId="1669E45A">
      <w:pPr>
        <w:pStyle w:val="60"/>
        <w:ind w:firstLine="420"/>
        <w:rPr>
          <w:rFonts w:hint="eastAsia"/>
        </w:rPr>
      </w:pPr>
      <w:r>
        <w:rPr>
          <w:rFonts w:hint="eastAsia"/>
        </w:rPr>
        <w:t>芒果（Mangifera indica L.）作为一种热带、亚热带重要经济作物，享有 “热带果王” 的美誉，原产于亚洲东南部的热带地区，其栽培面积和产量居世界热带水果第二，仅次于香蕉。全球约有100个国家（地区）生产芒果，种植面积8137.58万亩，总产量4650.87万吨。我国芒果在“十二五”、“十三五”期间发展迅速，2020年其种植面积达到515.1万亩，收获面积364.8万亩，产量331.2万吨，单产907.9 kg/亩，产值达204.6亿元。望谟县是贵州省的主产区，其种植面积已突破10万亩，在热带特色高效农业发展、乡村振兴以及支撑农业“走出去”方面发挥着重要作用。</w:t>
      </w:r>
    </w:p>
    <w:p w14:paraId="776A00CC">
      <w:pPr>
        <w:pStyle w:val="60"/>
        <w:ind w:firstLine="420"/>
        <w:rPr>
          <w:rFonts w:hint="eastAsia"/>
        </w:rPr>
      </w:pPr>
      <w:r>
        <w:rPr>
          <w:rFonts w:hint="eastAsia"/>
        </w:rPr>
        <w:t xml:space="preserve">随着芒果产业的发展和市场要求的不断提高，望谟芒果全产业链培育尚存在不足，适植品种、种苗培育、水肥管理、树体培养、主要病虫害防控、采收等关键技术未规范，果农学习栽培管理技术存在困难，难以支撑产业的高质量发展。望谟芒果 主要病虫害绿色防控技术规程 以望谟芒果主要病虫害绿色防控为目标，包含望谟芒果主要病虫害的种类、防控原则、绿色防控措施和建立生产档案等内容，构建完整的栽培技术体系。 </w:t>
      </w:r>
    </w:p>
    <w:p w14:paraId="31D83992">
      <w:pPr>
        <w:pStyle w:val="60"/>
        <w:ind w:firstLine="420"/>
        <w:rPr>
          <w:rFonts w:hint="eastAsia"/>
        </w:rPr>
      </w:pPr>
      <w:r>
        <w:rPr>
          <w:rFonts w:hint="eastAsia"/>
        </w:rPr>
        <w:t>本文件的制定，旨在提升芒果标准化生产水平，通过强化全流程生产管理，明确芒果果实质量与安全管控的具体标准，着力构建创新驱动强劲、产业链条完整、绿色发展鲜明、质量安全可控、联农带农紧密的现代农业全产业链体系，为全面推进乡村振兴、加快农业农村现代化提供坚实的技术支撑</w:t>
      </w:r>
    </w:p>
    <w:p w14:paraId="07C075AD">
      <w:pPr>
        <w:pStyle w:val="60"/>
        <w:ind w:firstLine="420"/>
        <w:rPr>
          <w:rFonts w:hint="eastAsia"/>
        </w:rPr>
      </w:pPr>
    </w:p>
    <w:p w14:paraId="6B48925E">
      <w:pPr>
        <w:pStyle w:val="60"/>
        <w:ind w:firstLine="420"/>
        <w:rPr>
          <w:rFonts w:hint="eastAsia"/>
        </w:rPr>
        <w:sectPr>
          <w:pgSz w:w="11906" w:h="16838"/>
          <w:pgMar w:top="1928" w:right="1134" w:bottom="1134" w:left="1134" w:header="1418" w:footer="1134" w:gutter="284"/>
          <w:pgNumType w:fmt="upperRoman"/>
          <w:cols w:space="425" w:num="1"/>
          <w:formProt w:val="0"/>
          <w:docGrid w:linePitch="312" w:charSpace="0"/>
        </w:sectPr>
      </w:pPr>
    </w:p>
    <w:bookmarkEnd w:id="23"/>
    <w:p w14:paraId="44BDC074">
      <w:pPr>
        <w:spacing w:line="20" w:lineRule="exact"/>
        <w:jc w:val="center"/>
        <w:rPr>
          <w:rFonts w:hint="eastAsia" w:ascii="黑体" w:hAnsi="黑体" w:eastAsia="黑体"/>
          <w:sz w:val="32"/>
          <w:szCs w:val="32"/>
        </w:rPr>
      </w:pPr>
      <w:bookmarkStart w:id="24" w:name="BookMark4"/>
    </w:p>
    <w:p w14:paraId="3E8CE919">
      <w:pPr>
        <w:spacing w:line="20" w:lineRule="exact"/>
        <w:jc w:val="center"/>
        <w:rPr>
          <w:rFonts w:hint="eastAsia" w:ascii="黑体" w:hAnsi="黑体" w:eastAsia="黑体"/>
          <w:sz w:val="32"/>
          <w:szCs w:val="32"/>
        </w:rPr>
      </w:pPr>
    </w:p>
    <w:sdt>
      <w:sdtPr>
        <w:tag w:val="NEW_STAND_NAME"/>
        <w:id w:val="595910757"/>
        <w:lock w:val="sdtLocked"/>
        <w:placeholder>
          <w:docPart w:val="72EB79A776454EF38B46795D84214E15"/>
        </w:placeholder>
      </w:sdtPr>
      <w:sdtContent>
        <w:p w14:paraId="3ED73E72">
          <w:pPr>
            <w:pStyle w:val="181"/>
            <w:spacing w:before="240" w:beforeLines="100" w:after="528" w:afterLines="220"/>
            <w:rPr>
              <w:rFonts w:hint="eastAsia"/>
            </w:rPr>
          </w:pPr>
          <w:bookmarkStart w:id="25" w:name="NEW_STAND_NAME"/>
          <w:r>
            <w:rPr>
              <w:rFonts w:hint="eastAsia"/>
            </w:rPr>
            <w:t>望谟芒果  主要病虫害绿色防控技术规程</w:t>
          </w:r>
        </w:p>
      </w:sdtContent>
    </w:sdt>
    <w:bookmarkEnd w:id="25"/>
    <w:p w14:paraId="62837780">
      <w:pPr>
        <w:pStyle w:val="108"/>
        <w:spacing w:before="240" w:after="240"/>
        <w:ind w:left="0"/>
      </w:pPr>
      <w:bookmarkStart w:id="26" w:name="_Toc26718930"/>
      <w:bookmarkStart w:id="27" w:name="_Toc17233333"/>
      <w:bookmarkStart w:id="28" w:name="_Toc97192964"/>
      <w:bookmarkStart w:id="29" w:name="_Toc26648465"/>
      <w:bookmarkStart w:id="30" w:name="_Toc17233325"/>
      <w:bookmarkStart w:id="31" w:name="_Toc26986530"/>
      <w:bookmarkStart w:id="32" w:name="_Toc26986771"/>
      <w:bookmarkStart w:id="33" w:name="_Toc24884211"/>
      <w:bookmarkStart w:id="34" w:name="_Toc24884218"/>
      <w:r>
        <w:rPr>
          <w:rFonts w:hint="eastAsia"/>
        </w:rPr>
        <w:t>范围</w:t>
      </w:r>
      <w:bookmarkEnd w:id="26"/>
      <w:bookmarkEnd w:id="27"/>
      <w:bookmarkEnd w:id="28"/>
      <w:bookmarkEnd w:id="29"/>
      <w:bookmarkEnd w:id="30"/>
      <w:bookmarkEnd w:id="31"/>
      <w:bookmarkEnd w:id="32"/>
      <w:bookmarkEnd w:id="33"/>
      <w:bookmarkEnd w:id="34"/>
    </w:p>
    <w:p w14:paraId="688C4C67">
      <w:pPr>
        <w:pStyle w:val="60"/>
        <w:ind w:firstLine="420"/>
      </w:pPr>
      <w:bookmarkStart w:id="35" w:name="_Toc17233326"/>
      <w:bookmarkStart w:id="36" w:name="_Toc17233334"/>
      <w:bookmarkStart w:id="37" w:name="_Toc24884219"/>
      <w:bookmarkStart w:id="38" w:name="_Toc26648466"/>
      <w:bookmarkStart w:id="39" w:name="_Toc24884212"/>
      <w:r>
        <w:rPr>
          <w:rFonts w:hint="eastAsia"/>
        </w:rPr>
        <w:t>本文件规定了望谟芒果主要病虫害的种类、防控原则、绿色防控措施和建立生产档案。</w:t>
      </w:r>
    </w:p>
    <w:p w14:paraId="695C02A0">
      <w:pPr>
        <w:pStyle w:val="60"/>
        <w:ind w:firstLine="420"/>
      </w:pPr>
      <w:r>
        <w:rPr>
          <w:rFonts w:hint="eastAsia"/>
        </w:rPr>
        <w:t>本文件适用于望谟芒果主要病虫害绿色防控。</w:t>
      </w:r>
    </w:p>
    <w:p w14:paraId="09DDB3F5">
      <w:pPr>
        <w:pStyle w:val="108"/>
        <w:spacing w:before="240" w:after="240"/>
        <w:ind w:left="0"/>
      </w:pPr>
      <w:bookmarkStart w:id="40" w:name="_Toc26986772"/>
      <w:bookmarkStart w:id="41" w:name="_Toc26986531"/>
      <w:bookmarkStart w:id="42" w:name="_Toc26718931"/>
      <w:bookmarkStart w:id="43" w:name="_Toc97192965"/>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94D6CD6">
          <w:pPr>
            <w:pStyle w:val="60"/>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551560">
      <w:pPr>
        <w:pStyle w:val="60"/>
        <w:ind w:firstLine="420"/>
      </w:pPr>
      <w:r>
        <w:t xml:space="preserve">GB 2763 </w:t>
      </w:r>
      <w:r>
        <w:rPr>
          <w:rFonts w:hint="eastAsia"/>
        </w:rPr>
        <w:t xml:space="preserve"> </w:t>
      </w:r>
      <w:r>
        <w:t>食品安全国家标准 食品中农药最大残留限量</w:t>
      </w:r>
    </w:p>
    <w:p w14:paraId="3D21D03A">
      <w:pPr>
        <w:pStyle w:val="60"/>
        <w:ind w:firstLine="420"/>
      </w:pPr>
      <w:r>
        <w:rPr>
          <w:rFonts w:hint="eastAsia"/>
        </w:rPr>
        <w:t>GB 12475  农药贮运、销售和使用的防毒规程</w:t>
      </w:r>
    </w:p>
    <w:p w14:paraId="553E1E6E">
      <w:pPr>
        <w:pStyle w:val="60"/>
        <w:ind w:firstLine="420"/>
      </w:pPr>
      <w:r>
        <w:rPr>
          <w:rFonts w:hint="eastAsia"/>
        </w:rPr>
        <w:t>NY/T 393</w:t>
      </w:r>
      <w:r>
        <w:t xml:space="preserve">  </w:t>
      </w:r>
      <w:r>
        <w:rPr>
          <w:rFonts w:hAnsi="宋体"/>
        </w:rPr>
        <w:t>绿色食品农药使用准则</w:t>
      </w:r>
    </w:p>
    <w:p w14:paraId="4B22483D">
      <w:pPr>
        <w:pStyle w:val="60"/>
        <w:ind w:firstLine="420"/>
      </w:pPr>
      <w:r>
        <w:rPr>
          <w:rFonts w:hint="eastAsia"/>
        </w:rPr>
        <w:t>NY/T 590  芒果 嫁接苗</w:t>
      </w:r>
    </w:p>
    <w:p w14:paraId="7D3A23AC">
      <w:pPr>
        <w:pStyle w:val="60"/>
        <w:ind w:firstLine="420"/>
      </w:pPr>
      <w:r>
        <w:rPr>
          <w:rFonts w:hint="eastAsia"/>
        </w:rPr>
        <w:t>NY/T 1276</w:t>
      </w:r>
      <w:r>
        <w:t xml:space="preserve">  </w:t>
      </w:r>
      <w:r>
        <w:rPr>
          <w:rFonts w:hAnsi="宋体"/>
        </w:rPr>
        <w:t xml:space="preserve">农药安全使用规范总则 </w:t>
      </w:r>
    </w:p>
    <w:p w14:paraId="3A7783AE">
      <w:pPr>
        <w:pStyle w:val="60"/>
        <w:ind w:firstLine="420"/>
      </w:pPr>
      <w:r>
        <w:rPr>
          <w:rFonts w:hint="eastAsia"/>
        </w:rPr>
        <w:t>NY/T 1476</w:t>
      </w:r>
      <w:r>
        <w:t xml:space="preserve">  </w:t>
      </w:r>
      <w:r>
        <w:rPr>
          <w:rFonts w:hint="eastAsia" w:hAnsi="宋体"/>
        </w:rPr>
        <w:t>热带作物主要病虫害防治技术规程 芒果</w:t>
      </w:r>
    </w:p>
    <w:p w14:paraId="16039057">
      <w:pPr>
        <w:pStyle w:val="60"/>
        <w:ind w:firstLine="420"/>
      </w:pPr>
      <w:r>
        <w:rPr>
          <w:rFonts w:hint="eastAsia"/>
        </w:rPr>
        <w:t>T/CSTX XXX 望谟芒果 套袋技术规程</w:t>
      </w:r>
    </w:p>
    <w:p w14:paraId="21C52330">
      <w:pPr>
        <w:pStyle w:val="60"/>
        <w:ind w:firstLine="420"/>
      </w:pPr>
      <w:r>
        <w:rPr>
          <w:lang w:val="en"/>
        </w:rPr>
        <w:t>T/CSTX XXX</w:t>
      </w:r>
      <w:r>
        <w:rPr>
          <w:rFonts w:hint="eastAsia"/>
        </w:rPr>
        <w:t xml:space="preserve"> 望谟芒果</w:t>
      </w:r>
      <w:r>
        <w:rPr>
          <w:lang w:val="en"/>
        </w:rPr>
        <w:t xml:space="preserve"> </w:t>
      </w:r>
      <w:r>
        <w:rPr>
          <w:rFonts w:hint="eastAsia"/>
        </w:rPr>
        <w:t>丰产树形培育技术规程</w:t>
      </w:r>
    </w:p>
    <w:p w14:paraId="22E3AA27">
      <w:pPr>
        <w:pStyle w:val="60"/>
        <w:ind w:firstLine="420"/>
      </w:pPr>
      <w:r>
        <w:rPr>
          <w:rFonts w:hint="eastAsia"/>
        </w:rPr>
        <w:t>T/CSTX XXX 望谟芒果 栽培技术规程</w:t>
      </w:r>
    </w:p>
    <w:p w14:paraId="1303591C">
      <w:pPr>
        <w:pStyle w:val="108"/>
        <w:spacing w:before="240" w:after="240"/>
        <w:ind w:left="0"/>
      </w:pPr>
      <w:bookmarkStart w:id="44" w:name="_Toc97192966"/>
      <w:r>
        <w:rPr>
          <w:rFonts w:hint="eastAsia"/>
        </w:rPr>
        <w:t>术语和定义</w:t>
      </w:r>
      <w:bookmarkEnd w:id="44"/>
    </w:p>
    <w:sdt>
      <w:sdtPr>
        <w:id w:val="-1909835108"/>
        <w:placeholder>
          <w:docPart w:val="EF842793D7364FEE9EEA5FC1636E3F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27E50D5">
          <w:pPr>
            <w:pStyle w:val="60"/>
            <w:ind w:firstLine="420"/>
          </w:pPr>
          <w:bookmarkStart w:id="45" w:name="_Toc26986532"/>
          <w:bookmarkEnd w:id="45"/>
          <w:r>
            <w:t>本文件没有需要界定的术语和定义。</w:t>
          </w:r>
        </w:p>
      </w:sdtContent>
    </w:sdt>
    <w:p w14:paraId="42EF9DB2">
      <w:pPr>
        <w:pStyle w:val="108"/>
        <w:spacing w:before="240" w:after="240"/>
        <w:ind w:left="0"/>
      </w:pPr>
      <w:r>
        <w:rPr>
          <w:rFonts w:hint="eastAsia"/>
        </w:rPr>
        <w:t>主要病虫害种类</w:t>
      </w:r>
    </w:p>
    <w:p w14:paraId="7D8196D8">
      <w:pPr>
        <w:pStyle w:val="60"/>
        <w:ind w:firstLine="420"/>
      </w:pPr>
      <w:r>
        <w:rPr>
          <w:rFonts w:hint="eastAsia"/>
        </w:rPr>
        <w:t>主要病害包括炭疽病、白粉病、细菌性角斑病、露水斑病等，主要害虫包括蓟马、柑橘小实蝇、横线尾夜蛾、芒果切叶象甲、叶瘿蚊、介壳虫等。望谟芒果主要病虫害识别要点见附录</w:t>
      </w:r>
      <w:r>
        <w:t> </w:t>
      </w:r>
      <w:r>
        <w:rPr>
          <w:rFonts w:hint="eastAsia"/>
        </w:rPr>
        <w:t>A。</w:t>
      </w:r>
    </w:p>
    <w:p w14:paraId="6F84E3DD">
      <w:pPr>
        <w:pStyle w:val="108"/>
        <w:spacing w:before="240" w:after="240"/>
        <w:ind w:left="0"/>
      </w:pPr>
      <w:r>
        <w:rPr>
          <w:rFonts w:hint="eastAsia"/>
        </w:rPr>
        <w:t>防控原则</w:t>
      </w:r>
    </w:p>
    <w:p w14:paraId="582677D1">
      <w:pPr>
        <w:pStyle w:val="109"/>
        <w:spacing w:before="120" w:after="120"/>
        <w:ind w:left="0"/>
      </w:pPr>
      <w:r>
        <w:rPr>
          <w:rFonts w:hint="eastAsia"/>
        </w:rPr>
        <w:t>安全性原则</w:t>
      </w:r>
    </w:p>
    <w:p w14:paraId="56CF615E">
      <w:pPr>
        <w:pStyle w:val="60"/>
        <w:ind w:firstLine="420"/>
      </w:pPr>
      <w:r>
        <w:rPr>
          <w:rFonts w:hint="eastAsia"/>
        </w:rPr>
        <w:t>以保证芒果的正常生长、投入品残留检测符合</w:t>
      </w:r>
      <w:r>
        <w:t> </w:t>
      </w:r>
      <w:r>
        <w:rPr>
          <w:rFonts w:hint="eastAsia"/>
        </w:rPr>
        <w:t>GB 2763</w:t>
      </w:r>
      <w:r>
        <w:t> </w:t>
      </w:r>
      <w:r>
        <w:rPr>
          <w:rFonts w:hint="eastAsia"/>
        </w:rPr>
        <w:t>限量为基本要求。</w:t>
      </w:r>
    </w:p>
    <w:p w14:paraId="6CD7482F">
      <w:pPr>
        <w:pStyle w:val="109"/>
        <w:spacing w:before="120" w:after="120"/>
        <w:ind w:left="0"/>
      </w:pPr>
      <w:r>
        <w:rPr>
          <w:rFonts w:hint="eastAsia"/>
        </w:rPr>
        <w:t>科学性原则</w:t>
      </w:r>
    </w:p>
    <w:p w14:paraId="19F928A4">
      <w:pPr>
        <w:widowControl/>
        <w:spacing w:before="120" w:beforeLines="50" w:after="120" w:afterLines="50" w:line="240" w:lineRule="auto"/>
        <w:ind w:firstLine="420" w:firstLineChars="200"/>
        <w:jc w:val="left"/>
        <w:rPr>
          <w:highlight w:val="yellow"/>
        </w:rPr>
      </w:pPr>
      <w:r>
        <w:rPr>
          <w:rFonts w:hint="eastAsia"/>
        </w:rPr>
        <w:t>贯彻“预防为主，综合防治”植保方针，以芒果园整个生态系统为整体，以农业措施为基础，协调生物防治、物理防治和化学防治等措施对病虫害进行有效控制。</w:t>
      </w:r>
    </w:p>
    <w:p w14:paraId="0698CEE8">
      <w:pPr>
        <w:pStyle w:val="108"/>
        <w:spacing w:before="240" w:after="240"/>
        <w:ind w:left="0"/>
      </w:pPr>
      <w:r>
        <w:rPr>
          <w:rFonts w:hint="eastAsia"/>
        </w:rPr>
        <w:t>绿色防控措施</w:t>
      </w:r>
    </w:p>
    <w:p w14:paraId="2F465E05">
      <w:pPr>
        <w:pStyle w:val="109"/>
        <w:spacing w:before="120" w:after="120"/>
        <w:ind w:left="0"/>
      </w:pPr>
      <w:r>
        <w:rPr>
          <w:rFonts w:hint="eastAsia"/>
        </w:rPr>
        <w:t>农业措施</w:t>
      </w:r>
    </w:p>
    <w:p w14:paraId="3991A116">
      <w:pPr>
        <w:pStyle w:val="60"/>
        <w:ind w:firstLine="420"/>
      </w:pPr>
      <w:r>
        <w:rPr>
          <w:rFonts w:hint="eastAsia"/>
        </w:rPr>
        <w:t>协调品种、水肥和栽培等农艺措施，强化健康栽培和生态调控，减轻病虫发生程度。</w:t>
      </w:r>
    </w:p>
    <w:p w14:paraId="22DD9678">
      <w:pPr>
        <w:pStyle w:val="69"/>
        <w:spacing w:before="120" w:after="120"/>
      </w:pPr>
      <w:r>
        <w:rPr>
          <w:rFonts w:hint="eastAsia"/>
        </w:rPr>
        <w:t>选用抗性品种</w:t>
      </w:r>
    </w:p>
    <w:bookmarkEnd w:id="24"/>
    <w:p w14:paraId="29E24C64">
      <w:pPr>
        <w:pStyle w:val="202"/>
        <w:spacing w:line="240" w:lineRule="auto"/>
        <w:rPr>
          <w:rFonts w:hint="eastAsia"/>
        </w:rPr>
      </w:pPr>
      <w:bookmarkStart w:id="46" w:name="BookMark5"/>
    </w:p>
    <w:p w14:paraId="69996727">
      <w:pPr>
        <w:pStyle w:val="203"/>
        <w:spacing w:line="240" w:lineRule="auto"/>
      </w:pPr>
    </w:p>
    <w:p w14:paraId="3D17204E">
      <w:pPr>
        <w:spacing w:line="240" w:lineRule="auto"/>
        <w:ind w:firstLine="420" w:firstLineChars="200"/>
      </w:pPr>
      <w:r>
        <w:rPr>
          <w:rFonts w:hint="eastAsia"/>
        </w:rPr>
        <w:t>选择抗病、抗逆性好的芒果砧木，嫁接优良品种，芒果苗木符合</w:t>
      </w:r>
      <w:r>
        <w:t> </w:t>
      </w:r>
      <w:r>
        <w:rPr>
          <w:rFonts w:hint="eastAsia" w:ascii="Times New Roman"/>
        </w:rPr>
        <w:t>NY/T 590</w:t>
      </w:r>
      <w:r>
        <w:rPr>
          <w:rFonts w:ascii="Times New Roman"/>
        </w:rPr>
        <w:t> </w:t>
      </w:r>
      <w:r>
        <w:rPr>
          <w:rFonts w:hint="eastAsia"/>
        </w:rPr>
        <w:t>要求。</w:t>
      </w:r>
    </w:p>
    <w:p w14:paraId="3B3F21B5">
      <w:pPr>
        <w:pStyle w:val="69"/>
        <w:spacing w:before="120" w:after="120"/>
      </w:pPr>
      <w:r>
        <w:rPr>
          <w:rFonts w:hint="eastAsia"/>
        </w:rPr>
        <w:t>合理密植与布局</w:t>
      </w:r>
    </w:p>
    <w:p w14:paraId="7FFD00A1">
      <w:pPr>
        <w:pStyle w:val="202"/>
        <w:spacing w:line="240" w:lineRule="auto"/>
        <w:rPr>
          <w:rFonts w:hint="eastAsia"/>
        </w:rPr>
      </w:pPr>
    </w:p>
    <w:p w14:paraId="280E2590">
      <w:pPr>
        <w:pStyle w:val="203"/>
        <w:spacing w:line="240" w:lineRule="auto"/>
      </w:pPr>
    </w:p>
    <w:p w14:paraId="41C3CF91">
      <w:pPr>
        <w:pStyle w:val="60"/>
        <w:ind w:firstLine="420"/>
      </w:pPr>
      <w:r>
        <w:rPr>
          <w:rFonts w:hint="eastAsia"/>
        </w:rPr>
        <w:t>以每亩种植</w:t>
      </w:r>
      <w:r>
        <w:rPr>
          <w:rFonts w:hint="eastAsia" w:ascii="宋体" w:hAnsi="宋体" w:cs="宋体"/>
        </w:rPr>
        <w:t>45</w:t>
      </w:r>
      <w:r>
        <w:t> </w:t>
      </w:r>
      <w:r>
        <w:rPr>
          <w:rFonts w:hint="eastAsia"/>
        </w:rPr>
        <w:t>～</w:t>
      </w:r>
      <w:r>
        <w:t> </w:t>
      </w:r>
      <w:r>
        <w:rPr>
          <w:rFonts w:hint="eastAsia" w:ascii="宋体" w:hAnsi="宋体" w:cs="宋体"/>
        </w:rPr>
        <w:t>55</w:t>
      </w:r>
      <w:r>
        <w:rPr>
          <w:rFonts w:hint="eastAsia"/>
        </w:rPr>
        <w:t>株为宜，单一品种连片种植，不同品种分区种植。</w:t>
      </w:r>
    </w:p>
    <w:p w14:paraId="0FFEC7BE">
      <w:pPr>
        <w:pStyle w:val="69"/>
        <w:spacing w:before="120" w:after="120"/>
      </w:pPr>
      <w:r>
        <w:rPr>
          <w:rFonts w:hint="eastAsia"/>
        </w:rPr>
        <w:t>幼树除花</w:t>
      </w:r>
    </w:p>
    <w:p w14:paraId="3C41843D">
      <w:pPr>
        <w:pStyle w:val="60"/>
        <w:ind w:firstLine="420"/>
      </w:pPr>
      <w:r>
        <w:rPr>
          <w:rFonts w:hint="eastAsia"/>
        </w:rPr>
        <w:t>定植后三年内，于每年</w:t>
      </w:r>
      <w:r>
        <w:t> </w:t>
      </w:r>
      <w:r>
        <w:rPr>
          <w:rFonts w:hint="eastAsia"/>
        </w:rPr>
        <w:t>4</w:t>
      </w:r>
      <w:r>
        <w:t> </w:t>
      </w:r>
      <w:r>
        <w:rPr>
          <w:rFonts w:hint="eastAsia"/>
        </w:rPr>
        <w:t>月中下旬进行除花摘果。</w:t>
      </w:r>
    </w:p>
    <w:p w14:paraId="387AE530">
      <w:pPr>
        <w:pStyle w:val="69"/>
        <w:spacing w:before="120" w:after="120"/>
      </w:pPr>
      <w:r>
        <w:rPr>
          <w:rFonts w:hint="eastAsia"/>
        </w:rPr>
        <w:t>花期摇花</w:t>
      </w:r>
    </w:p>
    <w:p w14:paraId="5DB731C9">
      <w:pPr>
        <w:pStyle w:val="60"/>
        <w:ind w:firstLine="420"/>
      </w:pPr>
      <w:r>
        <w:rPr>
          <w:rFonts w:hint="eastAsia"/>
        </w:rPr>
        <w:t>4月中旬盛花期之后，遇雨水天气，应及时进行人工摇花或操控无人机摇花。</w:t>
      </w:r>
    </w:p>
    <w:p w14:paraId="57FDD392">
      <w:pPr>
        <w:pStyle w:val="69"/>
        <w:spacing w:before="120" w:after="120"/>
      </w:pPr>
      <w:r>
        <w:rPr>
          <w:rFonts w:hint="eastAsia"/>
        </w:rPr>
        <w:t>树形培育与控果</w:t>
      </w:r>
    </w:p>
    <w:p w14:paraId="3FAA62ED">
      <w:pPr>
        <w:pStyle w:val="60"/>
        <w:ind w:firstLine="420"/>
        <w:rPr>
          <w:rFonts w:hint="eastAsia" w:hAnsi="宋体" w:cs="宋体"/>
        </w:rPr>
      </w:pPr>
      <w:r>
        <w:rPr>
          <w:rFonts w:hint="eastAsia"/>
        </w:rPr>
        <w:t>树形培育按</w:t>
      </w:r>
      <w:r>
        <w:t> </w:t>
      </w:r>
      <w:r>
        <w:rPr>
          <w:rFonts w:hint="eastAsia"/>
        </w:rPr>
        <w:t>T/CSTX XXX</w:t>
      </w:r>
      <w:r>
        <w:t> </w:t>
      </w:r>
      <w:r>
        <w:rPr>
          <w:rFonts w:hint="eastAsia"/>
        </w:rPr>
        <w:t>规定执行，丰产期结果树单株产量控制在</w:t>
      </w:r>
      <w:r>
        <w:t> </w:t>
      </w:r>
      <w:r>
        <w:rPr>
          <w:rFonts w:hint="eastAsia" w:ascii="宋体" w:hAnsi="宋体" w:cs="宋体"/>
        </w:rPr>
        <w:t>25</w:t>
      </w:r>
      <w:r>
        <w:t> </w:t>
      </w:r>
      <w:r>
        <w:rPr>
          <w:rFonts w:hint="eastAsia" w:ascii="宋体" w:hAnsi="宋体" w:cs="宋体"/>
        </w:rPr>
        <w:t>kg</w:t>
      </w:r>
      <w:r>
        <w:t> </w:t>
      </w:r>
      <w:r>
        <w:rPr>
          <w:rFonts w:hint="eastAsia"/>
        </w:rPr>
        <w:t>～</w:t>
      </w:r>
      <w:r>
        <w:t> </w:t>
      </w:r>
      <w:r>
        <w:rPr>
          <w:rFonts w:hint="eastAsia" w:ascii="宋体" w:hAnsi="宋体" w:cs="宋体"/>
        </w:rPr>
        <w:t>32</w:t>
      </w:r>
      <w:r>
        <w:t> </w:t>
      </w:r>
      <w:r>
        <w:rPr>
          <w:rFonts w:hint="eastAsia" w:ascii="宋体" w:hAnsi="宋体" w:cs="宋体"/>
        </w:rPr>
        <w:t>kg</w:t>
      </w:r>
      <w:r>
        <w:t> </w:t>
      </w:r>
      <w:r>
        <w:rPr>
          <w:rFonts w:hint="eastAsia" w:ascii="宋体" w:hAnsi="宋体" w:cs="宋体"/>
        </w:rPr>
        <w:t>为宜。</w:t>
      </w:r>
    </w:p>
    <w:p w14:paraId="06A2049A">
      <w:pPr>
        <w:pStyle w:val="69"/>
        <w:spacing w:before="120" w:after="120"/>
      </w:pPr>
      <w:r>
        <w:rPr>
          <w:rFonts w:hint="eastAsia" w:hAnsi="宋体" w:cs="宋体"/>
        </w:rPr>
        <w:t>平衡</w:t>
      </w:r>
      <w:r>
        <w:rPr>
          <w:rFonts w:hint="eastAsia"/>
        </w:rPr>
        <w:t>施肥</w:t>
      </w:r>
    </w:p>
    <w:p w14:paraId="10974E02">
      <w:pPr>
        <w:pStyle w:val="60"/>
        <w:ind w:firstLine="420"/>
        <w:rPr>
          <w:rFonts w:hint="eastAsia" w:hAnsi="宋体" w:cs="宋体"/>
        </w:rPr>
      </w:pPr>
      <w:r>
        <w:rPr>
          <w:rFonts w:hint="eastAsia" w:hAnsi="宋体" w:cs="宋体"/>
        </w:rPr>
        <w:t>花期、果实膨大期、采后修剪等时期注重施肥，按</w:t>
      </w:r>
      <w:r>
        <w:t> </w:t>
      </w:r>
      <w:r>
        <w:rPr>
          <w:rFonts w:hint="eastAsia"/>
        </w:rPr>
        <w:t>T/CSTX XXX</w:t>
      </w:r>
      <w:r>
        <w:t> </w:t>
      </w:r>
      <w:r>
        <w:rPr>
          <w:rFonts w:hint="eastAsia"/>
        </w:rPr>
        <w:t>规定执行</w:t>
      </w:r>
      <w:r>
        <w:rPr>
          <w:rFonts w:hint="eastAsia" w:hAnsi="宋体" w:cs="宋体"/>
        </w:rPr>
        <w:t>。</w:t>
      </w:r>
    </w:p>
    <w:p w14:paraId="17984FD6">
      <w:pPr>
        <w:pStyle w:val="69"/>
        <w:spacing w:before="120" w:after="120"/>
      </w:pPr>
      <w:r>
        <w:rPr>
          <w:rFonts w:hint="eastAsia"/>
        </w:rPr>
        <w:t>果实套袋</w:t>
      </w:r>
    </w:p>
    <w:p w14:paraId="493B858E">
      <w:pPr>
        <w:pStyle w:val="60"/>
        <w:ind w:firstLine="420"/>
      </w:pPr>
      <w:r>
        <w:rPr>
          <w:rFonts w:hint="eastAsia"/>
        </w:rPr>
        <w:t>按第</w:t>
      </w:r>
      <w:r>
        <w:t> </w:t>
      </w:r>
      <w:r>
        <w:rPr>
          <w:rFonts w:hint="eastAsia"/>
        </w:rPr>
        <w:t>5</w:t>
      </w:r>
      <w:r>
        <w:t> </w:t>
      </w:r>
      <w:r>
        <w:rPr>
          <w:rFonts w:hint="eastAsia"/>
        </w:rPr>
        <w:t>部分 望谟芒果 套袋技术规程的规定执行。</w:t>
      </w:r>
    </w:p>
    <w:p w14:paraId="0B7F7700">
      <w:pPr>
        <w:pStyle w:val="69"/>
        <w:spacing w:before="120" w:after="120"/>
      </w:pPr>
      <w:r>
        <w:rPr>
          <w:rFonts w:hint="eastAsia"/>
        </w:rPr>
        <w:t>果园生草</w:t>
      </w:r>
    </w:p>
    <w:p w14:paraId="3404E962">
      <w:pPr>
        <w:pStyle w:val="60"/>
        <w:ind w:firstLine="420"/>
      </w:pPr>
      <w:r>
        <w:rPr>
          <w:rFonts w:hint="eastAsia"/>
        </w:rPr>
        <w:t>在芒果园内间作绿叶山蚂蝗、光叶紫花苕、饭包草等进行地表覆盖。</w:t>
      </w:r>
    </w:p>
    <w:p w14:paraId="3B7A18C9">
      <w:pPr>
        <w:pStyle w:val="202"/>
        <w:spacing w:line="240" w:lineRule="auto"/>
        <w:rPr>
          <w:rFonts w:hint="eastAsia"/>
        </w:rPr>
      </w:pPr>
    </w:p>
    <w:p w14:paraId="5615BC19">
      <w:pPr>
        <w:pStyle w:val="203"/>
        <w:spacing w:line="240" w:lineRule="auto"/>
      </w:pPr>
    </w:p>
    <w:p w14:paraId="1ADDE633">
      <w:pPr>
        <w:pStyle w:val="69"/>
        <w:spacing w:before="120" w:after="120"/>
      </w:pPr>
      <w:r>
        <w:rPr>
          <w:rFonts w:hint="eastAsia"/>
        </w:rPr>
        <w:t>清洁果园</w:t>
      </w:r>
    </w:p>
    <w:p w14:paraId="4DD4E135">
      <w:pPr>
        <w:pStyle w:val="60"/>
        <w:ind w:firstLine="420"/>
      </w:pPr>
      <w:r>
        <w:rPr>
          <w:rFonts w:hint="eastAsia"/>
        </w:rPr>
        <w:t>及时清除修剪枝条、落果，集中无害化处理。</w:t>
      </w:r>
    </w:p>
    <w:p w14:paraId="7AD08E4F">
      <w:pPr>
        <w:pStyle w:val="69"/>
        <w:spacing w:before="120" w:after="120"/>
      </w:pPr>
      <w:r>
        <w:rPr>
          <w:rFonts w:hint="eastAsia"/>
        </w:rPr>
        <w:t>防寒防冻</w:t>
      </w:r>
    </w:p>
    <w:p w14:paraId="2DF067A8">
      <w:pPr>
        <w:pStyle w:val="60"/>
        <w:ind w:firstLine="420"/>
      </w:pPr>
      <w:r>
        <w:rPr>
          <w:rFonts w:hint="eastAsia"/>
        </w:rPr>
        <w:t>12</w:t>
      </w:r>
      <w:r>
        <w:t> </w:t>
      </w:r>
      <w:r>
        <w:rPr>
          <w:rFonts w:hint="eastAsia" w:ascii="宋体"/>
        </w:rPr>
        <w:t>月</w:t>
      </w:r>
      <w:r>
        <w:rPr>
          <w:rFonts w:hint="eastAsia"/>
        </w:rPr>
        <w:t>中</w:t>
      </w:r>
      <w:r>
        <w:rPr>
          <w:rFonts w:hint="eastAsia" w:ascii="宋体"/>
        </w:rPr>
        <w:t>旬前，及时进行树干涂白，用稻草等树盘覆盖；</w:t>
      </w:r>
      <w:r>
        <w:rPr>
          <w:rFonts w:hint="eastAsia"/>
        </w:rPr>
        <w:t>密切关注天气预报，在寒流到来前，喷施</w:t>
      </w:r>
      <w:r>
        <w:rPr>
          <w:rFonts w:hint="eastAsia" w:ascii="宋体"/>
        </w:rPr>
        <w:t>果树防冻剂，并结合</w:t>
      </w:r>
      <w:r>
        <w:rPr>
          <w:rFonts w:hint="eastAsia"/>
        </w:rPr>
        <w:t>熏烟防寒。</w:t>
      </w:r>
    </w:p>
    <w:p w14:paraId="7AC574B7">
      <w:pPr>
        <w:pStyle w:val="109"/>
        <w:spacing w:before="120" w:after="120"/>
        <w:ind w:left="0"/>
      </w:pPr>
      <w:r>
        <w:rPr>
          <w:rFonts w:hint="eastAsia"/>
        </w:rPr>
        <w:t>理化诱控</w:t>
      </w:r>
    </w:p>
    <w:p w14:paraId="041B84C6">
      <w:pPr>
        <w:pStyle w:val="69"/>
        <w:spacing w:before="120" w:after="120"/>
      </w:pPr>
      <w:r>
        <w:rPr>
          <w:rFonts w:hint="eastAsia"/>
        </w:rPr>
        <w:t>色板诱杀</w:t>
      </w:r>
    </w:p>
    <w:p w14:paraId="2EC14FCF">
      <w:pPr>
        <w:pStyle w:val="60"/>
        <w:ind w:firstLine="420"/>
      </w:pPr>
      <w:r>
        <w:rPr>
          <w:rFonts w:hint="eastAsia"/>
        </w:rPr>
        <w:t>避开芒果的盛花期，每亩按“棋盘式”立杆悬挂</w:t>
      </w:r>
      <w:r>
        <w:t> </w:t>
      </w:r>
      <w:r>
        <w:rPr>
          <w:rFonts w:hint="eastAsia" w:ascii="宋体" w:hAnsi="宋体" w:cs="宋体"/>
        </w:rPr>
        <w:t>25</w:t>
      </w:r>
      <w:r>
        <w:t> </w:t>
      </w:r>
      <w:r>
        <w:rPr>
          <w:rFonts w:hint="eastAsia"/>
        </w:rPr>
        <w:t>～</w:t>
      </w:r>
      <w:r>
        <w:t> </w:t>
      </w:r>
      <w:r>
        <w:rPr>
          <w:rFonts w:hint="eastAsia" w:ascii="宋体" w:hAnsi="宋体" w:cs="宋体"/>
          <w:kern w:val="2"/>
          <w:szCs w:val="21"/>
        </w:rPr>
        <w:t>30</w:t>
      </w:r>
      <w:r>
        <w:t> </w:t>
      </w:r>
      <w:r>
        <w:rPr>
          <w:rFonts w:hint="eastAsia" w:ascii="宋体" w:hAnsi="宋体" w:cs="宋体"/>
          <w:kern w:val="2"/>
          <w:szCs w:val="21"/>
        </w:rPr>
        <w:t>张黄色粘虫板或蓝</w:t>
      </w:r>
      <w:r>
        <w:rPr>
          <w:rFonts w:hint="eastAsia" w:hAnsi="宋体" w:cs="宋体"/>
          <w:kern w:val="2"/>
          <w:szCs w:val="21"/>
        </w:rPr>
        <w:t>色粘</w:t>
      </w:r>
      <w:r>
        <w:rPr>
          <w:rFonts w:hint="eastAsia" w:ascii="宋体" w:hAnsi="宋体" w:cs="宋体"/>
          <w:kern w:val="2"/>
          <w:szCs w:val="21"/>
        </w:rPr>
        <w:t>虫板进行</w:t>
      </w:r>
      <w:r>
        <w:rPr>
          <w:rFonts w:hint="eastAsia"/>
        </w:rPr>
        <w:t>蓟马、叶瘿蚊、柑橘小实蝇等的诱杀，色板悬挂高度略低于树冠顶部。</w:t>
      </w:r>
    </w:p>
    <w:p w14:paraId="491F94A9">
      <w:pPr>
        <w:pStyle w:val="69"/>
        <w:spacing w:before="120" w:after="120"/>
      </w:pPr>
      <w:r>
        <w:rPr>
          <w:rFonts w:hint="eastAsia"/>
        </w:rPr>
        <w:t>灯光诱杀</w:t>
      </w:r>
    </w:p>
    <w:p w14:paraId="5B96F6C7">
      <w:pPr>
        <w:pStyle w:val="60"/>
        <w:ind w:firstLine="420"/>
      </w:pPr>
      <w:r>
        <w:rPr>
          <w:rFonts w:hint="eastAsia"/>
        </w:rPr>
        <w:t>每</w:t>
      </w:r>
      <w:r>
        <w:rPr>
          <w:color w:val="000000"/>
          <w:sz w:val="20"/>
          <w:lang w:bidi="ar"/>
        </w:rPr>
        <w:t> </w:t>
      </w:r>
      <w:r>
        <w:rPr>
          <w:rFonts w:hint="eastAsia"/>
        </w:rPr>
        <w:t>20</w:t>
      </w:r>
      <w:r>
        <w:t> </w:t>
      </w:r>
      <w:r>
        <w:rPr>
          <w:rFonts w:hint="eastAsia"/>
        </w:rPr>
        <w:t>～</w:t>
      </w:r>
      <w:r>
        <w:t> </w:t>
      </w:r>
      <w:r>
        <w:rPr>
          <w:rFonts w:hint="eastAsia"/>
          <w:color w:val="000000"/>
          <w:sz w:val="20"/>
          <w:lang w:bidi="ar"/>
        </w:rPr>
        <w:t>25</w:t>
      </w:r>
      <w:r>
        <w:rPr>
          <w:color w:val="000000"/>
          <w:sz w:val="20"/>
          <w:lang w:bidi="ar"/>
        </w:rPr>
        <w:t> </w:t>
      </w:r>
      <w:r>
        <w:rPr>
          <w:rFonts w:hint="eastAsia"/>
          <w:color w:val="000000"/>
          <w:sz w:val="20"/>
          <w:lang w:bidi="ar"/>
        </w:rPr>
        <w:t>亩安装一盏太阳能</w:t>
      </w:r>
      <w:r>
        <w:rPr>
          <w:rFonts w:hint="eastAsia"/>
        </w:rPr>
        <w:t>频振式杀虫灯，诱杀蓟马、柑橘小实蝇、叶瘿蚊、芒果切叶象甲、芒果横纹尾夜蛾等害虫。</w:t>
      </w:r>
    </w:p>
    <w:p w14:paraId="498612E6">
      <w:pPr>
        <w:pStyle w:val="69"/>
        <w:spacing w:before="120" w:after="120"/>
      </w:pPr>
      <w:r>
        <w:rPr>
          <w:rFonts w:hint="eastAsia"/>
        </w:rPr>
        <w:t>诱剂诱杀</w:t>
      </w:r>
    </w:p>
    <w:p w14:paraId="378FDCE5">
      <w:pPr>
        <w:pStyle w:val="60"/>
        <w:ind w:firstLine="420"/>
      </w:pPr>
      <w:r>
        <w:t>在</w:t>
      </w:r>
      <w:r>
        <w:rPr>
          <w:rFonts w:hint="eastAsia"/>
        </w:rPr>
        <w:t>粘板上添加邻氨基苯甲酸甲酯及其类似物等</w:t>
      </w:r>
      <w:r>
        <w:t>引诱剂</w:t>
      </w:r>
      <w:r>
        <w:rPr>
          <w:rFonts w:hint="eastAsia"/>
        </w:rPr>
        <w:t>诱杀蓟马；</w:t>
      </w:r>
      <w:r>
        <w:t>可选用 S</w:t>
      </w:r>
      <w:r>
        <w:rPr>
          <w:rFonts w:hint="eastAsia"/>
        </w:rPr>
        <w:t>（</w:t>
      </w:r>
      <w:r>
        <w:t>Steiner</w:t>
      </w:r>
      <w:r>
        <w:rPr>
          <w:rFonts w:hint="eastAsia"/>
        </w:rPr>
        <w:t>）</w:t>
      </w:r>
      <w:r>
        <w:t>诱捕器或M</w:t>
      </w:r>
      <w:r>
        <w:rPr>
          <w:rFonts w:hint="eastAsia"/>
        </w:rPr>
        <w:t>（</w:t>
      </w:r>
      <w:r>
        <w:t>Mcphail</w:t>
      </w:r>
      <w:r>
        <w:rPr>
          <w:rFonts w:hint="eastAsia"/>
        </w:rPr>
        <w:t>）</w:t>
      </w:r>
      <w:r>
        <w:t>诱捕器，在诱芯上添加甲基丁香酚、姜酮等引诱剂和杀虫剂进行柑橘小实蝇等的诱杀；或利用蛋白胨配制成</w:t>
      </w:r>
      <w:r>
        <w:rPr>
          <w:color w:val="000000"/>
          <w:sz w:val="20"/>
          <w:lang w:bidi="ar"/>
        </w:rPr>
        <w:t> </w:t>
      </w:r>
      <w:r>
        <w:t>1</w:t>
      </w:r>
      <w:r>
        <w:rPr>
          <w:color w:val="000000"/>
          <w:sz w:val="20"/>
          <w:lang w:bidi="ar"/>
        </w:rPr>
        <w:t> </w:t>
      </w:r>
      <w:r>
        <w:t>%</w:t>
      </w:r>
      <w:r>
        <w:rPr>
          <w:color w:val="000000"/>
          <w:sz w:val="20"/>
          <w:lang w:bidi="ar"/>
        </w:rPr>
        <w:t> </w:t>
      </w:r>
      <w:r>
        <w:t>浓度加杀虫剂，或利用红糖配制成</w:t>
      </w:r>
      <w:r>
        <w:rPr>
          <w:color w:val="000000"/>
          <w:sz w:val="20"/>
          <w:lang w:bidi="ar"/>
        </w:rPr>
        <w:t> </w:t>
      </w:r>
      <w:r>
        <w:t>3</w:t>
      </w:r>
      <w:r>
        <w:rPr>
          <w:color w:val="000000"/>
          <w:sz w:val="20"/>
          <w:lang w:bidi="ar"/>
        </w:rPr>
        <w:t> </w:t>
      </w:r>
      <w:r>
        <w:t>%</w:t>
      </w:r>
      <w:r>
        <w:rPr>
          <w:color w:val="000000"/>
          <w:sz w:val="20"/>
          <w:lang w:bidi="ar"/>
        </w:rPr>
        <w:t> </w:t>
      </w:r>
      <w:r>
        <w:t>浓度加杀虫剂喷洒于芒果树冠叶片上，诱杀柑橘小实蝇成虫。</w:t>
      </w:r>
    </w:p>
    <w:p w14:paraId="251A00C7">
      <w:pPr>
        <w:pStyle w:val="109"/>
        <w:spacing w:before="120" w:after="120"/>
        <w:ind w:left="0"/>
      </w:pPr>
      <w:r>
        <w:rPr>
          <w:rFonts w:hint="eastAsia"/>
        </w:rPr>
        <w:t>生物防控</w:t>
      </w:r>
    </w:p>
    <w:p w14:paraId="719CA5FC">
      <w:pPr>
        <w:pStyle w:val="69"/>
        <w:spacing w:before="120" w:after="120"/>
      </w:pPr>
      <w:r>
        <w:rPr>
          <w:rFonts w:hint="eastAsia"/>
        </w:rPr>
        <w:t>释放人工饲养天敌</w:t>
      </w:r>
    </w:p>
    <w:p w14:paraId="2198B0A1">
      <w:pPr>
        <w:pStyle w:val="60"/>
        <w:ind w:firstLine="420"/>
      </w:pPr>
      <w:r>
        <w:rPr>
          <w:rFonts w:hint="eastAsia"/>
        </w:rPr>
        <w:t>按每棵树释放巴氏新小绥螨</w:t>
      </w:r>
      <w:r>
        <w:rPr>
          <w:color w:val="000000"/>
          <w:sz w:val="20"/>
          <w:lang w:bidi="ar"/>
        </w:rPr>
        <w:t> </w:t>
      </w:r>
      <w:r>
        <w:rPr>
          <w:rFonts w:hint="eastAsia"/>
        </w:rPr>
        <w:t>1</w:t>
      </w:r>
      <w:r>
        <w:rPr>
          <w:color w:val="000000"/>
          <w:sz w:val="20"/>
          <w:lang w:bidi="ar"/>
        </w:rPr>
        <w:t> </w:t>
      </w:r>
      <w:r>
        <w:rPr>
          <w:rFonts w:hint="eastAsia"/>
        </w:rPr>
        <w:t>500</w:t>
      </w:r>
      <w:r>
        <w:rPr>
          <w:color w:val="000000"/>
          <w:sz w:val="20"/>
          <w:lang w:bidi="ar"/>
        </w:rPr>
        <w:t> ~ </w:t>
      </w:r>
      <w:r>
        <w:rPr>
          <w:rFonts w:hint="eastAsia"/>
        </w:rPr>
        <w:t>4</w:t>
      </w:r>
      <w:r>
        <w:rPr>
          <w:color w:val="000000"/>
          <w:sz w:val="20"/>
          <w:lang w:bidi="ar"/>
        </w:rPr>
        <w:t> </w:t>
      </w:r>
      <w:r>
        <w:rPr>
          <w:rFonts w:hint="eastAsia"/>
        </w:rPr>
        <w:t>500</w:t>
      </w:r>
      <w:r>
        <w:rPr>
          <w:color w:val="000000"/>
          <w:sz w:val="20"/>
          <w:lang w:bidi="ar"/>
        </w:rPr>
        <w:t> </w:t>
      </w:r>
      <w:r>
        <w:rPr>
          <w:rFonts w:hint="eastAsia"/>
        </w:rPr>
        <w:t>头。</w:t>
      </w:r>
    </w:p>
    <w:p w14:paraId="79BCE288">
      <w:pPr>
        <w:pStyle w:val="69"/>
        <w:spacing w:before="120" w:after="120"/>
      </w:pPr>
      <w:r>
        <w:rPr>
          <w:rFonts w:hint="eastAsia"/>
        </w:rPr>
        <w:t>喷施拮抗微生物</w:t>
      </w:r>
    </w:p>
    <w:p w14:paraId="5E4B77A3">
      <w:pPr>
        <w:pStyle w:val="60"/>
        <w:ind w:firstLine="420"/>
      </w:pPr>
      <w:r>
        <w:rPr>
          <w:rFonts w:hint="eastAsia"/>
        </w:rPr>
        <w:t>新梢期喷施枯草芽孢杆菌和蜡质芽孢杆菌，间隔</w:t>
      </w:r>
      <w:r>
        <w:rPr>
          <w:color w:val="000000"/>
          <w:sz w:val="20"/>
          <w:lang w:bidi="ar"/>
        </w:rPr>
        <w:t> </w:t>
      </w:r>
      <w:r>
        <w:rPr>
          <w:rFonts w:hint="eastAsia"/>
        </w:rPr>
        <w:t>3</w:t>
      </w:r>
      <w:r>
        <w:rPr>
          <w:color w:val="000000"/>
          <w:sz w:val="20"/>
          <w:lang w:bidi="ar"/>
        </w:rPr>
        <w:t> </w:t>
      </w:r>
      <w:r>
        <w:rPr>
          <w:rFonts w:hint="eastAsia"/>
        </w:rPr>
        <w:t>天施用</w:t>
      </w:r>
      <w:r>
        <w:rPr>
          <w:color w:val="000000"/>
          <w:sz w:val="20"/>
          <w:lang w:bidi="ar"/>
        </w:rPr>
        <w:t> </w:t>
      </w:r>
      <w:r>
        <w:rPr>
          <w:rFonts w:hint="eastAsia"/>
        </w:rPr>
        <w:t>1</w:t>
      </w:r>
      <w:r>
        <w:rPr>
          <w:color w:val="000000"/>
          <w:sz w:val="20"/>
          <w:lang w:bidi="ar"/>
        </w:rPr>
        <w:t> </w:t>
      </w:r>
      <w:r>
        <w:rPr>
          <w:rFonts w:hint="eastAsia"/>
        </w:rPr>
        <w:t>次，连续施用</w:t>
      </w:r>
      <w:r>
        <w:rPr>
          <w:color w:val="000000"/>
          <w:sz w:val="20"/>
          <w:lang w:bidi="ar"/>
        </w:rPr>
        <w:t> </w:t>
      </w:r>
      <w:r>
        <w:rPr>
          <w:rFonts w:hint="eastAsia"/>
        </w:rPr>
        <w:t>3</w:t>
      </w:r>
      <w:r>
        <w:rPr>
          <w:color w:val="000000"/>
          <w:sz w:val="20"/>
          <w:lang w:bidi="ar"/>
        </w:rPr>
        <w:t> </w:t>
      </w:r>
      <w:r>
        <w:rPr>
          <w:rFonts w:hint="eastAsia"/>
        </w:rPr>
        <w:t>次。</w:t>
      </w:r>
    </w:p>
    <w:p w14:paraId="1039885A">
      <w:pPr>
        <w:pStyle w:val="109"/>
        <w:spacing w:before="120" w:after="120"/>
        <w:ind w:left="0"/>
      </w:pPr>
      <w:r>
        <w:rPr>
          <w:rFonts w:hint="eastAsia"/>
        </w:rPr>
        <w:t>药剂防治</w:t>
      </w:r>
    </w:p>
    <w:p w14:paraId="0A3099E6">
      <w:pPr>
        <w:pStyle w:val="69"/>
        <w:spacing w:before="120" w:after="120"/>
      </w:pPr>
      <w:r>
        <w:rPr>
          <w:rFonts w:hint="eastAsia"/>
        </w:rPr>
        <w:t>科学施药</w:t>
      </w:r>
    </w:p>
    <w:p w14:paraId="68383B2F">
      <w:pPr>
        <w:pStyle w:val="60"/>
        <w:ind w:firstLineChars="0"/>
        <w:rPr>
          <w:rFonts w:hint="eastAsia"/>
        </w:rPr>
      </w:pPr>
      <w:r>
        <w:rPr>
          <w:rFonts w:hint="eastAsia"/>
        </w:rPr>
        <w:t>要求如下：</w:t>
      </w:r>
    </w:p>
    <w:p w14:paraId="058CBEB0">
      <w:pPr>
        <w:pStyle w:val="136"/>
      </w:pPr>
      <w:r>
        <w:rPr>
          <w:rFonts w:hint="eastAsia"/>
        </w:rPr>
        <w:t>农药的选择应符合</w:t>
      </w:r>
      <w:r>
        <w:rPr>
          <w:color w:val="000000"/>
          <w:sz w:val="20"/>
          <w:lang w:bidi="ar"/>
        </w:rPr>
        <w:t> </w:t>
      </w:r>
      <w:r>
        <w:rPr>
          <w:rFonts w:hint="eastAsia"/>
        </w:rPr>
        <w:t>NY/T 393</w:t>
      </w:r>
      <w:r>
        <w:rPr>
          <w:color w:val="000000"/>
          <w:sz w:val="20"/>
          <w:lang w:bidi="ar"/>
        </w:rPr>
        <w:t> </w:t>
      </w:r>
      <w:r>
        <w:rPr>
          <w:rFonts w:hint="eastAsia"/>
        </w:rPr>
        <w:t>的规定。</w:t>
      </w:r>
    </w:p>
    <w:p w14:paraId="037C06E9">
      <w:pPr>
        <w:pStyle w:val="136"/>
      </w:pPr>
      <w:r>
        <w:rPr>
          <w:rFonts w:hint="eastAsia"/>
        </w:rPr>
        <w:t>重点抓首要病虫，兼顾其他病虫，采取“一喷多防（治）”的策略。</w:t>
      </w:r>
    </w:p>
    <w:p w14:paraId="4821C91F">
      <w:pPr>
        <w:pStyle w:val="136"/>
      </w:pPr>
      <w:r>
        <w:rPr>
          <w:rFonts w:hint="eastAsia"/>
        </w:rPr>
        <w:t>不同类型的农药应交替使用。</w:t>
      </w:r>
    </w:p>
    <w:p w14:paraId="532D981B">
      <w:pPr>
        <w:pStyle w:val="69"/>
        <w:spacing w:before="120" w:after="120"/>
      </w:pPr>
      <w:r>
        <w:rPr>
          <w:rFonts w:hint="eastAsia"/>
        </w:rPr>
        <w:t>安全施药</w:t>
      </w:r>
    </w:p>
    <w:p w14:paraId="05BF9114">
      <w:pPr>
        <w:pStyle w:val="60"/>
        <w:ind w:firstLine="420"/>
        <w:rPr>
          <w:rFonts w:hint="eastAsia"/>
        </w:rPr>
      </w:pPr>
      <w:r>
        <w:rPr>
          <w:rFonts w:hint="eastAsia"/>
        </w:rPr>
        <w:t>要求如下：</w:t>
      </w:r>
    </w:p>
    <w:p w14:paraId="17312897">
      <w:pPr>
        <w:pStyle w:val="136"/>
        <w:ind w:left="850" w:hanging="425"/>
        <w:rPr>
          <w:rFonts w:ascii="Times New Roman"/>
        </w:rPr>
      </w:pPr>
      <w:r>
        <w:rPr>
          <w:rFonts w:ascii="Times New Roman"/>
        </w:rPr>
        <w:t>农药的安全使用按</w:t>
      </w:r>
      <w:r>
        <w:rPr>
          <w:rFonts w:ascii="Times New Roman"/>
          <w:color w:val="000000"/>
          <w:sz w:val="20"/>
          <w:lang w:bidi="ar"/>
        </w:rPr>
        <w:t> </w:t>
      </w:r>
      <w:r>
        <w:rPr>
          <w:rFonts w:ascii="Times New Roman"/>
        </w:rPr>
        <w:t>NY/T 1276</w:t>
      </w:r>
      <w:r>
        <w:rPr>
          <w:rFonts w:ascii="Times New Roman"/>
          <w:color w:val="000000"/>
          <w:sz w:val="20"/>
          <w:lang w:bidi="ar"/>
        </w:rPr>
        <w:t> </w:t>
      </w:r>
      <w:r>
        <w:rPr>
          <w:rFonts w:ascii="Times New Roman"/>
        </w:rPr>
        <w:t>规定执行。</w:t>
      </w:r>
    </w:p>
    <w:p w14:paraId="53EEE818">
      <w:pPr>
        <w:pStyle w:val="136"/>
        <w:ind w:left="850" w:hanging="425"/>
        <w:rPr>
          <w:rFonts w:ascii="Times New Roman"/>
        </w:rPr>
      </w:pPr>
      <w:r>
        <w:rPr>
          <w:rFonts w:ascii="Times New Roman"/>
        </w:rPr>
        <w:t>植保人员在农药的贮存、保管和使用按</w:t>
      </w:r>
      <w:r>
        <w:rPr>
          <w:rFonts w:ascii="Times New Roman"/>
          <w:color w:val="000000"/>
          <w:sz w:val="20"/>
          <w:lang w:bidi="ar"/>
        </w:rPr>
        <w:t> </w:t>
      </w:r>
      <w:r>
        <w:rPr>
          <w:rFonts w:ascii="Times New Roman"/>
        </w:rPr>
        <w:t>GB 12475</w:t>
      </w:r>
      <w:r>
        <w:rPr>
          <w:rFonts w:ascii="Times New Roman"/>
          <w:color w:val="000000"/>
          <w:sz w:val="20"/>
          <w:lang w:bidi="ar"/>
        </w:rPr>
        <w:t> </w:t>
      </w:r>
      <w:r>
        <w:rPr>
          <w:rFonts w:ascii="Times New Roman"/>
        </w:rPr>
        <w:t>规定执行。</w:t>
      </w:r>
    </w:p>
    <w:p w14:paraId="0F4AC640">
      <w:pPr>
        <w:pStyle w:val="136"/>
        <w:ind w:left="850" w:hanging="425"/>
        <w:rPr>
          <w:rFonts w:ascii="Times New Roman"/>
        </w:rPr>
      </w:pPr>
      <w:r>
        <w:rPr>
          <w:rFonts w:ascii="Times New Roman"/>
        </w:rPr>
        <w:t>农药安全间隔期内，不能进行果实采收。</w:t>
      </w:r>
    </w:p>
    <w:p w14:paraId="42A43D72">
      <w:pPr>
        <w:pStyle w:val="69"/>
        <w:spacing w:before="120" w:after="120"/>
      </w:pPr>
      <w:r>
        <w:rPr>
          <w:rFonts w:hint="eastAsia"/>
        </w:rPr>
        <w:t>精准施药</w:t>
      </w:r>
    </w:p>
    <w:p w14:paraId="31D62119">
      <w:pPr>
        <w:pStyle w:val="60"/>
        <w:ind w:firstLine="420"/>
      </w:pPr>
      <w:r>
        <w:rPr>
          <w:rFonts w:hint="eastAsia"/>
        </w:rPr>
        <w:t>定期巡视果园，做好监测和预测，主要病害和虫害的化学防治使用的杀菌剂和杀虫剂的种类、稀释倍数和方法按</w:t>
      </w:r>
      <w:r>
        <w:t> </w:t>
      </w:r>
      <w:r>
        <w:rPr>
          <w:rFonts w:hint="eastAsia"/>
        </w:rPr>
        <w:t>NY/T 1476</w:t>
      </w:r>
      <w:r>
        <w:t> </w:t>
      </w:r>
      <w:r>
        <w:rPr>
          <w:rFonts w:hint="eastAsia"/>
        </w:rPr>
        <w:t>规定执行。</w:t>
      </w:r>
    </w:p>
    <w:p w14:paraId="7EC07805">
      <w:pPr>
        <w:pStyle w:val="109"/>
        <w:numPr>
          <w:ilvl w:val="2"/>
          <w:numId w:val="0"/>
        </w:numPr>
        <w:spacing w:before="120" w:after="120"/>
        <w:ind w:firstLine="420" w:firstLineChars="200"/>
        <w:rPr>
          <w:b/>
          <w:bCs/>
        </w:rPr>
      </w:pPr>
      <w:r>
        <w:rPr>
          <w:rFonts w:hint="eastAsia" w:ascii="宋体" w:eastAsia="宋体"/>
        </w:rPr>
        <w:t>望谟芒果主要病虫害防控推荐药剂及防控时期见附录B。</w:t>
      </w:r>
    </w:p>
    <w:p w14:paraId="38C96402">
      <w:pPr>
        <w:pStyle w:val="108"/>
        <w:spacing w:before="240" w:after="240"/>
        <w:ind w:left="0"/>
      </w:pPr>
      <w:r>
        <w:rPr>
          <w:rFonts w:hint="eastAsia"/>
        </w:rPr>
        <w:t xml:space="preserve">防控档案 </w:t>
      </w:r>
    </w:p>
    <w:p w14:paraId="5DD7FC7D">
      <w:pPr>
        <w:pStyle w:val="60"/>
        <w:ind w:firstLine="420"/>
        <w:sectPr>
          <w:pgSz w:w="11906" w:h="16838"/>
          <w:pgMar w:top="1928" w:right="1134" w:bottom="1134" w:left="1134" w:header="1418" w:footer="1134" w:gutter="284"/>
          <w:cols w:space="425" w:num="1"/>
          <w:formProt w:val="0"/>
          <w:docGrid w:linePitch="312" w:charSpace="0"/>
        </w:sectPr>
      </w:pPr>
      <w:r>
        <w:rPr>
          <w:rFonts w:hint="eastAsia"/>
        </w:rPr>
        <w:t>种植者应记录果园的农用投入品使用情况，建立生产档案，以供查阅。农用投入品包括但不限于种子、肥料、农药等。</w:t>
      </w:r>
      <w:bookmarkEnd w:id="46"/>
      <w:bookmarkStart w:id="47" w:name="BookMark8"/>
    </w:p>
    <w:p w14:paraId="23AE20C2">
      <w:pPr>
        <w:pStyle w:val="202"/>
        <w:rPr>
          <w:rFonts w:hint="eastAsia"/>
        </w:rPr>
      </w:pPr>
    </w:p>
    <w:p w14:paraId="199F2E79">
      <w:pPr>
        <w:pStyle w:val="203"/>
        <w:rPr>
          <w:rFonts w:hint="eastAsia"/>
        </w:rPr>
      </w:pPr>
    </w:p>
    <w:p w14:paraId="625D2421">
      <w:pPr>
        <w:pStyle w:val="80"/>
        <w:rPr>
          <w:rFonts w:hint="eastAsia"/>
        </w:rPr>
      </w:pPr>
      <w:r>
        <w:br w:type="textWrapping"/>
      </w:r>
      <w:r>
        <w:rPr>
          <w:rFonts w:hint="eastAsia"/>
        </w:rPr>
        <w:t>（资料性）</w:t>
      </w:r>
      <w:r>
        <w:br w:type="textWrapping"/>
      </w:r>
      <w:r>
        <w:rPr>
          <w:rFonts w:hint="eastAsia"/>
        </w:rPr>
        <w:t>望谟芒果主要病虫害识别要点</w:t>
      </w:r>
    </w:p>
    <w:p w14:paraId="46E6B347">
      <w:pPr>
        <w:pStyle w:val="60"/>
        <w:ind w:firstLine="420"/>
        <w:rPr>
          <w:rFonts w:hint="eastAsia"/>
        </w:rPr>
      </w:pPr>
      <w:r>
        <w:rPr>
          <w:rFonts w:hint="eastAsia"/>
        </w:rPr>
        <w:t>见表A.1。</w:t>
      </w:r>
    </w:p>
    <w:p w14:paraId="363E3A5A">
      <w:pPr>
        <w:pStyle w:val="60"/>
        <w:spacing w:before="120" w:beforeLines="50" w:after="120" w:afterLines="50"/>
        <w:ind w:firstLine="0" w:firstLineChars="0"/>
        <w:jc w:val="center"/>
        <w:rPr>
          <w:rFonts w:hint="eastAsia" w:ascii="黑体" w:hAnsi="黑体" w:eastAsia="黑体"/>
        </w:rPr>
      </w:pPr>
      <w:r>
        <w:rPr>
          <w:rFonts w:hint="eastAsia" w:ascii="黑体" w:hAnsi="黑体" w:eastAsia="黑体"/>
        </w:rPr>
        <w:t>表A.1 望谟芒果主要病虫害识别要点</w:t>
      </w:r>
    </w:p>
    <w:tbl>
      <w:tblPr>
        <w:tblStyle w:val="30"/>
        <w:tblW w:w="499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71"/>
        <w:gridCol w:w="1655"/>
        <w:gridCol w:w="6836"/>
      </w:tblGrid>
      <w:tr w14:paraId="39159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tcBorders>
              <w:top w:val="single" w:color="auto" w:sz="12" w:space="0"/>
              <w:bottom w:val="single" w:color="auto" w:sz="12" w:space="0"/>
            </w:tcBorders>
          </w:tcPr>
          <w:p w14:paraId="0C516B3C">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bookmarkStart w:id="48" w:name="_GoBack"/>
            <w:r>
              <w:rPr>
                <w:rFonts w:hint="eastAsia"/>
                <w:sz w:val="18"/>
                <w:szCs w:val="18"/>
              </w:rPr>
              <w:t>识别对象</w:t>
            </w:r>
          </w:p>
        </w:tc>
        <w:tc>
          <w:tcPr>
            <w:tcW w:w="865" w:type="pct"/>
            <w:tcBorders>
              <w:top w:val="single" w:color="auto" w:sz="12" w:space="0"/>
              <w:bottom w:val="single" w:color="auto" w:sz="12" w:space="0"/>
            </w:tcBorders>
          </w:tcPr>
          <w:p w14:paraId="2A8B9CCA">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识别要点</w:t>
            </w:r>
          </w:p>
        </w:tc>
        <w:tc>
          <w:tcPr>
            <w:tcW w:w="3573" w:type="pct"/>
            <w:tcBorders>
              <w:top w:val="single" w:color="auto" w:sz="12" w:space="0"/>
              <w:bottom w:val="single" w:color="auto" w:sz="12" w:space="0"/>
            </w:tcBorders>
          </w:tcPr>
          <w:p w14:paraId="490AA981">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识别症状</w:t>
            </w:r>
          </w:p>
        </w:tc>
      </w:tr>
      <w:tr w14:paraId="3F945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0" w:hRule="atLeast"/>
        </w:trPr>
        <w:tc>
          <w:tcPr>
            <w:tcW w:w="560" w:type="pct"/>
            <w:tcBorders>
              <w:top w:val="single" w:color="auto" w:sz="12" w:space="0"/>
            </w:tcBorders>
            <w:vAlign w:val="center"/>
          </w:tcPr>
          <w:p w14:paraId="0C180ED5">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炭疽病</w:t>
            </w:r>
          </w:p>
        </w:tc>
        <w:tc>
          <w:tcPr>
            <w:tcW w:w="865" w:type="pct"/>
            <w:tcBorders>
              <w:top w:val="single" w:color="auto" w:sz="12" w:space="0"/>
            </w:tcBorders>
            <w:vAlign w:val="center"/>
          </w:tcPr>
          <w:p w14:paraId="11FDC079">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 xml:space="preserve">红色针点→黑色小点→连片斑块→叶片枯裂，果实腐烂。 </w:t>
            </w:r>
          </w:p>
        </w:tc>
        <w:tc>
          <w:tcPr>
            <w:tcW w:w="3573" w:type="pct"/>
            <w:tcBorders>
              <w:top w:val="single" w:color="auto" w:sz="12" w:space="0"/>
            </w:tcBorders>
            <w:vAlign w:val="center"/>
          </w:tcPr>
          <w:p w14:paraId="4ECD932F">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主要为害嫩叶、嫩枝、花序和果实。严重时可引起落叶、枝枯、落花、果腐。嫩叶染病形成大小不一的枯死斑；花序上形成长条形或不规则形的红褐色或黑色病斑，受害花变成褐色或黑色，最终干枯凋萎、脱落，严重时整个花序枯死；幼果受害后最初出现红色斑点，扩大后出现近圆形的黑色凹陷病斑或整个果实变黑腐烂，导致大量落果；果实成熟时，不同大小的病斑可相互愈合形成大病斑覆盖果面，或常呈现“泪痕状”；在潮湿情况下，病斑上的分生孢子盘上可出现橙红色的分生孢子堆。</w:t>
            </w:r>
          </w:p>
        </w:tc>
      </w:tr>
      <w:tr w14:paraId="0FE2F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3" w:hRule="atLeast"/>
        </w:trPr>
        <w:tc>
          <w:tcPr>
            <w:tcW w:w="560" w:type="pct"/>
            <w:vAlign w:val="center"/>
          </w:tcPr>
          <w:p w14:paraId="39226B4F">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白粉病</w:t>
            </w:r>
          </w:p>
        </w:tc>
        <w:tc>
          <w:tcPr>
            <w:tcW w:w="865" w:type="pct"/>
            <w:vAlign w:val="center"/>
          </w:tcPr>
          <w:p w14:paraId="787B78AF">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 xml:space="preserve"> 分散的白粉状小斑块→一片白色粉状霉层→变褐坏死。</w:t>
            </w:r>
          </w:p>
        </w:tc>
        <w:tc>
          <w:tcPr>
            <w:tcW w:w="3573" w:type="pct"/>
            <w:vAlign w:val="center"/>
          </w:tcPr>
          <w:p w14:paraId="33D1BA40">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主要为害花序、幼果、嫩叶和嫩枝。发病初期病部的器官出现少量分散的白色小粉斑，病斑扩大愈合后形成一层白色粉状物。最后，花序感病组织变褐，常脱落，叶片病部组织坏死呈畸形扭曲状。</w:t>
            </w:r>
          </w:p>
        </w:tc>
      </w:tr>
      <w:tr w14:paraId="421E1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06" w:hRule="atLeast"/>
        </w:trPr>
        <w:tc>
          <w:tcPr>
            <w:tcW w:w="560" w:type="pct"/>
            <w:vAlign w:val="center"/>
          </w:tcPr>
          <w:p w14:paraId="11902B53">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细菌性角斑病</w:t>
            </w:r>
          </w:p>
        </w:tc>
        <w:tc>
          <w:tcPr>
            <w:tcW w:w="865" w:type="pct"/>
            <w:vAlign w:val="center"/>
          </w:tcPr>
          <w:p w14:paraId="62DAD6B5">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针状黑点→黄色晕圈小黑斑→叶片脱落，果实溃疡斑。</w:t>
            </w:r>
          </w:p>
        </w:tc>
        <w:tc>
          <w:tcPr>
            <w:tcW w:w="3573" w:type="pct"/>
            <w:vAlign w:val="center"/>
          </w:tcPr>
          <w:p w14:paraId="006BC981">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主要为害芒果叶片、枝条、花芽、花和果实。叶片受侵染初生水渍状小点，逐步变成黑褐色，扩展后病斑边缘常受叶脉限制而呈多角形或不规则形，有时多个病斑融合成较大的病斑，病斑表面隆起，呈亮黑色，背面颜色较浅，周围常有黄晕，后期病斑有时变成灰白色；果实受侵染初生暗绿色、水渍状、针头大的小点，扩展后变成黑褐色、隆起、圆形或不定型斑，病部中央常呈星状开裂，流出琥珀色或黑褐色胶液，如经雨水溅散，雾、露滴流淌，在果面常形成条状，微黏的污斑。</w:t>
            </w:r>
          </w:p>
        </w:tc>
      </w:tr>
      <w:tr w14:paraId="3CC64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vAlign w:val="center"/>
          </w:tcPr>
          <w:p w14:paraId="1717C717">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露水斑病</w:t>
            </w:r>
          </w:p>
        </w:tc>
        <w:tc>
          <w:tcPr>
            <w:tcW w:w="865" w:type="pct"/>
            <w:vAlign w:val="center"/>
          </w:tcPr>
          <w:p w14:paraId="063D7D7F">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果面呈现似“露水”状病斑。</w:t>
            </w:r>
          </w:p>
        </w:tc>
        <w:tc>
          <w:tcPr>
            <w:tcW w:w="3573" w:type="pct"/>
            <w:vAlign w:val="center"/>
          </w:tcPr>
          <w:p w14:paraId="00043733">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症状复杂多样，花期开始感染，果实上的病斑呈不规则形的油渍状或水渍状，有些病斑边缘明显，有些则不明显；湿度大时，病斑上有黑色或墨绿色的霉层，形成露水斑状，手擦拭不掉，不侵入果肉，也不引起果实腐烂。</w:t>
            </w:r>
          </w:p>
        </w:tc>
      </w:tr>
      <w:tr w14:paraId="7FBE7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vAlign w:val="center"/>
          </w:tcPr>
          <w:p w14:paraId="1E76CA08">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蓟马</w:t>
            </w:r>
          </w:p>
        </w:tc>
        <w:tc>
          <w:tcPr>
            <w:tcW w:w="865" w:type="pct"/>
            <w:vAlign w:val="center"/>
          </w:tcPr>
          <w:p w14:paraId="4E315AD0">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锉吸，粗糙，果锈。</w:t>
            </w:r>
          </w:p>
        </w:tc>
        <w:tc>
          <w:tcPr>
            <w:tcW w:w="3573" w:type="pct"/>
            <w:vAlign w:val="center"/>
          </w:tcPr>
          <w:p w14:paraId="5675C975">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以若虫、成虫在嫩梢、嫩叶、花穗及幼果吸食嫩叶、嫩梢、花穗及幼果等组织汁液。嫩叶嫩梢变硬卷曲枯萎，叶片逐渐皱缩、干枯。花器、嫩果受害花器受害，初为白斑，后期变褐色，逐渐枯萎。严重时造成落果。</w:t>
            </w:r>
          </w:p>
        </w:tc>
      </w:tr>
      <w:tr w14:paraId="2EDA3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vAlign w:val="center"/>
          </w:tcPr>
          <w:p w14:paraId="49CB4765">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柑橘小实蝇</w:t>
            </w:r>
          </w:p>
        </w:tc>
        <w:tc>
          <w:tcPr>
            <w:tcW w:w="865" w:type="pct"/>
            <w:vAlign w:val="center"/>
          </w:tcPr>
          <w:p w14:paraId="167EC9A2">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产卵管刺破果皮，透明小米大小胶珠，落果，蛆果。</w:t>
            </w:r>
          </w:p>
        </w:tc>
        <w:tc>
          <w:tcPr>
            <w:tcW w:w="3573" w:type="pct"/>
            <w:vAlign w:val="center"/>
          </w:tcPr>
          <w:p w14:paraId="1909FA7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以成虫产卵在将成熟的果实表皮内，孵化后的幼虫在果中取食果肉，引起果肉腐烂，失去食用价值</w:t>
            </w:r>
          </w:p>
        </w:tc>
      </w:tr>
      <w:tr w14:paraId="60400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60" w:type="pct"/>
            <w:vAlign w:val="center"/>
          </w:tcPr>
          <w:p w14:paraId="03FA26F0">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叶瘿蚊</w:t>
            </w:r>
          </w:p>
        </w:tc>
        <w:tc>
          <w:tcPr>
            <w:tcW w:w="865" w:type="pct"/>
            <w:vAlign w:val="center"/>
          </w:tcPr>
          <w:p w14:paraId="2EB47B10">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浅黄色斑点，渐变为灰白色，穿孔破裂，叶片卷曲。</w:t>
            </w:r>
          </w:p>
        </w:tc>
        <w:tc>
          <w:tcPr>
            <w:tcW w:w="3573" w:type="pct"/>
            <w:vAlign w:val="center"/>
          </w:tcPr>
          <w:p w14:paraId="5CE1DF4A">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幼虫危害嫩梢、嫩叶，被害处呈浅黄色斑点,进而变为灰白色，最后变为褐色而穿孔破裂。严重时，呈网状破裂、卷曲，枯萎脱落以致梢枯、树冠生长不良。</w:t>
            </w:r>
          </w:p>
        </w:tc>
      </w:tr>
      <w:tr w14:paraId="6866F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trPr>
        <w:tc>
          <w:tcPr>
            <w:tcW w:w="560" w:type="pct"/>
            <w:vAlign w:val="center"/>
          </w:tcPr>
          <w:p w14:paraId="13A06D69">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横线尾夜蛾</w:t>
            </w:r>
          </w:p>
        </w:tc>
        <w:tc>
          <w:tcPr>
            <w:tcW w:w="865" w:type="pct"/>
            <w:vAlign w:val="center"/>
          </w:tcPr>
          <w:p w14:paraId="0C92234C">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钻蛀，火柴头大小孔洞，空心枝或枯死。</w:t>
            </w:r>
          </w:p>
        </w:tc>
        <w:tc>
          <w:tcPr>
            <w:tcW w:w="3573" w:type="pct"/>
            <w:vAlign w:val="center"/>
          </w:tcPr>
          <w:p w14:paraId="5D60DF6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以幼虫蛀食嫩梢或花穗的髓部，导致受害部位枯死,严重影响幼树生长和结果树的产量。</w:t>
            </w:r>
          </w:p>
        </w:tc>
      </w:tr>
      <w:tr w14:paraId="648D46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vAlign w:val="center"/>
          </w:tcPr>
          <w:p w14:paraId="50F026E4">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芒果切叶象甲</w:t>
            </w:r>
          </w:p>
        </w:tc>
        <w:tc>
          <w:tcPr>
            <w:tcW w:w="865" w:type="pct"/>
            <w:vAlign w:val="center"/>
          </w:tcPr>
          <w:p w14:paraId="2810D0DF">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卷叶，切口。</w:t>
            </w:r>
          </w:p>
        </w:tc>
        <w:tc>
          <w:tcPr>
            <w:tcW w:w="3573" w:type="pct"/>
            <w:vAlign w:val="center"/>
          </w:tcPr>
          <w:p w14:paraId="2829BEE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成虫咬食嫩叶上表皮，使叶片卷缩、干枯；雌成虫将产卵的嫩叶从近叶片基部横向咬断，使带卵部分落地，留下刀剪状的叶基部。</w:t>
            </w:r>
          </w:p>
        </w:tc>
      </w:tr>
      <w:tr w14:paraId="6D878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60" w:type="pct"/>
            <w:vAlign w:val="center"/>
          </w:tcPr>
          <w:p w14:paraId="1AE06C14">
            <w:pPr>
              <w:keepNext w:val="0"/>
              <w:keepLines w:val="0"/>
              <w:pageBreakBefore w:val="0"/>
              <w:widowControl w:val="0"/>
              <w:kinsoku/>
              <w:wordWrap/>
              <w:overflowPunct/>
              <w:topLinePunct w:val="0"/>
              <w:autoSpaceDE/>
              <w:autoSpaceDN/>
              <w:bidi w:val="0"/>
              <w:adjustRightInd w:val="0"/>
              <w:spacing w:line="240" w:lineRule="auto"/>
              <w:jc w:val="center"/>
              <w:textAlignment w:val="auto"/>
              <w:rPr>
                <w:sz w:val="18"/>
                <w:szCs w:val="18"/>
              </w:rPr>
            </w:pPr>
            <w:r>
              <w:rPr>
                <w:rFonts w:hint="eastAsia"/>
                <w:sz w:val="18"/>
                <w:szCs w:val="18"/>
              </w:rPr>
              <w:t>介壳虫</w:t>
            </w:r>
          </w:p>
        </w:tc>
        <w:tc>
          <w:tcPr>
            <w:tcW w:w="865" w:type="pct"/>
            <w:vAlign w:val="center"/>
          </w:tcPr>
          <w:p w14:paraId="2E9EE873">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刺吸，失绿，虫斑，煤烟。</w:t>
            </w:r>
          </w:p>
        </w:tc>
        <w:tc>
          <w:tcPr>
            <w:tcW w:w="3573" w:type="pct"/>
            <w:vAlign w:val="center"/>
          </w:tcPr>
          <w:p w14:paraId="21484B90">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sz w:val="18"/>
                <w:szCs w:val="18"/>
              </w:rPr>
            </w:pPr>
            <w:r>
              <w:rPr>
                <w:rFonts w:hint="eastAsia"/>
                <w:sz w:val="18"/>
                <w:szCs w:val="18"/>
              </w:rPr>
              <w:t>介壳虫主要为害枝梢、叶片和果实，吸食其组织的汁液，同时虫体固着在果皮造成虫斑，并分泌大量蜜露和泌蜡物，诱发煤烟病、露水斑病，影响光合作用及果实外观。</w:t>
            </w:r>
          </w:p>
        </w:tc>
      </w:tr>
      <w:bookmarkEnd w:id="48"/>
    </w:tbl>
    <w:p w14:paraId="558B12A6">
      <w:pPr>
        <w:pStyle w:val="60"/>
        <w:ind w:firstLine="420"/>
        <w:rPr>
          <w:rFonts w:hint="eastAsia"/>
        </w:rPr>
        <w:sectPr>
          <w:pgSz w:w="11906" w:h="16838"/>
          <w:pgMar w:top="1928" w:right="1134" w:bottom="1134" w:left="1134" w:header="1418" w:footer="1134" w:gutter="284"/>
          <w:cols w:space="425" w:num="1"/>
          <w:formProt w:val="0"/>
          <w:docGrid w:linePitch="312" w:charSpace="0"/>
        </w:sectPr>
      </w:pPr>
      <w:r>
        <w:rPr>
          <w:rFonts w:hint="eastAsia"/>
        </w:rPr>
        <w:br w:type="page"/>
      </w:r>
    </w:p>
    <w:p w14:paraId="210E74E0">
      <w:pPr>
        <w:pStyle w:val="202"/>
        <w:rPr>
          <w:rFonts w:hint="eastAsia"/>
        </w:rPr>
      </w:pPr>
    </w:p>
    <w:p w14:paraId="68B4D382">
      <w:pPr>
        <w:pStyle w:val="203"/>
        <w:rPr>
          <w:rFonts w:hint="eastAsia"/>
        </w:rPr>
      </w:pPr>
    </w:p>
    <w:p w14:paraId="6F14C496">
      <w:pPr>
        <w:pStyle w:val="80"/>
        <w:rPr>
          <w:rFonts w:hint="eastAsia"/>
        </w:rPr>
      </w:pPr>
      <w:r>
        <w:br w:type="textWrapping"/>
      </w:r>
      <w:r>
        <w:rPr>
          <w:rFonts w:hint="eastAsia"/>
        </w:rPr>
        <w:t>（资料性）</w:t>
      </w:r>
      <w:r>
        <w:br w:type="textWrapping"/>
      </w:r>
      <w:r>
        <w:rPr>
          <w:rFonts w:hint="eastAsia"/>
        </w:rPr>
        <w:t>望谟芒果主要病虫害防控</w:t>
      </w:r>
    </w:p>
    <w:p w14:paraId="44E6EDDB">
      <w:pPr>
        <w:pStyle w:val="60"/>
        <w:ind w:firstLine="420"/>
        <w:rPr>
          <w:rFonts w:hint="eastAsia"/>
        </w:rPr>
      </w:pPr>
      <w:r>
        <w:rPr>
          <w:rFonts w:hint="eastAsia"/>
        </w:rPr>
        <w:t>见表B.1。</w:t>
      </w:r>
    </w:p>
    <w:p w14:paraId="6F7A6564">
      <w:pPr>
        <w:pStyle w:val="60"/>
        <w:spacing w:before="120" w:beforeLines="50" w:after="120" w:afterLines="50"/>
        <w:ind w:firstLine="0" w:firstLineChars="0"/>
        <w:jc w:val="center"/>
        <w:rPr>
          <w:rFonts w:hint="eastAsia" w:ascii="黑体" w:hAnsi="黑体" w:eastAsia="黑体"/>
        </w:rPr>
      </w:pPr>
      <w:r>
        <w:rPr>
          <w:rFonts w:hint="eastAsia" w:ascii="黑体" w:hAnsi="黑体" w:eastAsia="黑体"/>
        </w:rPr>
        <w:t>表B.1 主要病虫害防控推荐药剂及防控时期</w:t>
      </w:r>
    </w:p>
    <w:tbl>
      <w:tblPr>
        <w:tblStyle w:val="29"/>
        <w:tblW w:w="4994"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019"/>
        <w:gridCol w:w="3217"/>
        <w:gridCol w:w="1249"/>
        <w:gridCol w:w="1113"/>
        <w:gridCol w:w="1932"/>
        <w:gridCol w:w="1029"/>
      </w:tblGrid>
      <w:tr w14:paraId="5B7D1E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tcBorders>
              <w:top w:val="single" w:color="000000" w:sz="12" w:space="0"/>
              <w:bottom w:val="single" w:color="000000" w:sz="12" w:space="0"/>
            </w:tcBorders>
            <w:vAlign w:val="center"/>
          </w:tcPr>
          <w:p w14:paraId="45909CF9">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防控对象</w:t>
            </w:r>
          </w:p>
        </w:tc>
        <w:tc>
          <w:tcPr>
            <w:tcW w:w="1682" w:type="pct"/>
            <w:tcBorders>
              <w:top w:val="single" w:color="000000" w:sz="12" w:space="0"/>
              <w:bottom w:val="single" w:color="000000" w:sz="12" w:space="0"/>
            </w:tcBorders>
            <w:vAlign w:val="center"/>
          </w:tcPr>
          <w:p w14:paraId="57E2C8CF">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药剂名称</w:t>
            </w:r>
          </w:p>
        </w:tc>
        <w:tc>
          <w:tcPr>
            <w:tcW w:w="653" w:type="pct"/>
            <w:tcBorders>
              <w:top w:val="single" w:color="000000" w:sz="12" w:space="0"/>
              <w:bottom w:val="single" w:color="000000" w:sz="12" w:space="0"/>
            </w:tcBorders>
            <w:vAlign w:val="center"/>
          </w:tcPr>
          <w:p w14:paraId="323E8A90">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稀释倍数</w:t>
            </w:r>
          </w:p>
        </w:tc>
        <w:tc>
          <w:tcPr>
            <w:tcW w:w="582" w:type="pct"/>
            <w:tcBorders>
              <w:top w:val="single" w:color="000000" w:sz="12" w:space="0"/>
              <w:bottom w:val="single" w:color="000000" w:sz="12" w:space="0"/>
            </w:tcBorders>
            <w:vAlign w:val="center"/>
          </w:tcPr>
          <w:p w14:paraId="2456763A">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防控方式</w:t>
            </w:r>
          </w:p>
        </w:tc>
        <w:tc>
          <w:tcPr>
            <w:tcW w:w="1010" w:type="pct"/>
            <w:tcBorders>
              <w:top w:val="single" w:color="000000" w:sz="12" w:space="0"/>
              <w:bottom w:val="single" w:color="000000" w:sz="12" w:space="0"/>
            </w:tcBorders>
            <w:vAlign w:val="center"/>
          </w:tcPr>
          <w:p w14:paraId="24026697">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防控时期</w:t>
            </w:r>
          </w:p>
        </w:tc>
        <w:tc>
          <w:tcPr>
            <w:tcW w:w="538" w:type="pct"/>
            <w:tcBorders>
              <w:top w:val="single" w:color="000000" w:sz="12" w:space="0"/>
              <w:bottom w:val="single" w:color="000000" w:sz="12" w:space="0"/>
            </w:tcBorders>
            <w:noWrap/>
            <w:vAlign w:val="center"/>
          </w:tcPr>
          <w:p w14:paraId="0B266854">
            <w:pPr>
              <w:widowControl/>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6BBE03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tcBorders>
              <w:top w:val="single" w:color="000000" w:sz="12" w:space="0"/>
            </w:tcBorders>
            <w:vAlign w:val="center"/>
          </w:tcPr>
          <w:p w14:paraId="69FC99D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炭疽病</w:t>
            </w:r>
          </w:p>
        </w:tc>
        <w:tc>
          <w:tcPr>
            <w:tcW w:w="1682" w:type="pct"/>
            <w:tcBorders>
              <w:top w:val="single" w:color="000000" w:sz="12" w:space="0"/>
            </w:tcBorders>
            <w:vAlign w:val="center"/>
          </w:tcPr>
          <w:p w14:paraId="1AA79F7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70%甲基硫菌灵可湿性粉剂</w:t>
            </w:r>
          </w:p>
        </w:tc>
        <w:tc>
          <w:tcPr>
            <w:tcW w:w="653" w:type="pct"/>
            <w:tcBorders>
              <w:top w:val="single" w:color="000000" w:sz="12" w:space="0"/>
            </w:tcBorders>
            <w:vAlign w:val="center"/>
          </w:tcPr>
          <w:p w14:paraId="2B9E169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800～1200</w:t>
            </w:r>
          </w:p>
        </w:tc>
        <w:tc>
          <w:tcPr>
            <w:tcW w:w="582" w:type="pct"/>
            <w:tcBorders>
              <w:top w:val="single" w:color="000000" w:sz="12" w:space="0"/>
            </w:tcBorders>
            <w:vAlign w:val="center"/>
          </w:tcPr>
          <w:p w14:paraId="6AD65236">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tcBorders>
              <w:top w:val="single" w:color="000000" w:sz="12" w:space="0"/>
            </w:tcBorders>
            <w:vAlign w:val="center"/>
          </w:tcPr>
          <w:p w14:paraId="3B1CBEE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抽梢期，花期，幼果期，果实青熟期。</w:t>
            </w:r>
          </w:p>
        </w:tc>
        <w:tc>
          <w:tcPr>
            <w:tcW w:w="538" w:type="pct"/>
            <w:vMerge w:val="restart"/>
            <w:tcBorders>
              <w:top w:val="single" w:color="000000" w:sz="12" w:space="0"/>
            </w:tcBorders>
            <w:vAlign w:val="center"/>
          </w:tcPr>
          <w:p w14:paraId="58D483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药剂的使用次数和安全间隔期应参照对应的使用说明严格执行。</w:t>
            </w:r>
          </w:p>
        </w:tc>
      </w:tr>
      <w:tr w14:paraId="261D12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739C201A">
            <w:pPr>
              <w:spacing w:line="240" w:lineRule="auto"/>
              <w:jc w:val="center"/>
              <w:rPr>
                <w:rFonts w:hint="eastAsia" w:ascii="宋体" w:hAnsi="宋体" w:cs="宋体"/>
                <w:color w:val="000000"/>
                <w:sz w:val="18"/>
                <w:szCs w:val="18"/>
              </w:rPr>
            </w:pPr>
          </w:p>
        </w:tc>
        <w:tc>
          <w:tcPr>
            <w:tcW w:w="1682" w:type="pct"/>
            <w:vAlign w:val="center"/>
          </w:tcPr>
          <w:p w14:paraId="47886F7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80%代森锰锌可湿性粉剂</w:t>
            </w:r>
          </w:p>
        </w:tc>
        <w:tc>
          <w:tcPr>
            <w:tcW w:w="653" w:type="pct"/>
            <w:vAlign w:val="center"/>
          </w:tcPr>
          <w:p w14:paraId="5829295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600～800</w:t>
            </w:r>
          </w:p>
        </w:tc>
        <w:tc>
          <w:tcPr>
            <w:tcW w:w="582" w:type="pct"/>
            <w:vAlign w:val="center"/>
          </w:tcPr>
          <w:p w14:paraId="3E237A72">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721D35B6">
            <w:pPr>
              <w:spacing w:line="240" w:lineRule="auto"/>
              <w:jc w:val="center"/>
              <w:rPr>
                <w:rFonts w:hint="eastAsia" w:ascii="宋体" w:hAnsi="宋体" w:cs="宋体"/>
                <w:color w:val="000000"/>
                <w:sz w:val="18"/>
                <w:szCs w:val="18"/>
              </w:rPr>
            </w:pPr>
          </w:p>
        </w:tc>
        <w:tc>
          <w:tcPr>
            <w:tcW w:w="538" w:type="pct"/>
            <w:vMerge w:val="continue"/>
            <w:vAlign w:val="center"/>
          </w:tcPr>
          <w:p w14:paraId="65A28033">
            <w:pPr>
              <w:spacing w:line="240" w:lineRule="auto"/>
              <w:jc w:val="center"/>
              <w:rPr>
                <w:rFonts w:hint="eastAsia" w:ascii="宋体" w:hAnsi="宋体" w:cs="宋体"/>
                <w:color w:val="000000"/>
                <w:sz w:val="18"/>
                <w:szCs w:val="18"/>
              </w:rPr>
            </w:pPr>
          </w:p>
        </w:tc>
      </w:tr>
      <w:tr w14:paraId="6A77C8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44650AA5">
            <w:pPr>
              <w:spacing w:line="240" w:lineRule="auto"/>
              <w:jc w:val="center"/>
              <w:rPr>
                <w:rFonts w:hint="eastAsia" w:ascii="宋体" w:hAnsi="宋体" w:cs="宋体"/>
                <w:color w:val="000000"/>
                <w:sz w:val="18"/>
                <w:szCs w:val="18"/>
              </w:rPr>
            </w:pPr>
          </w:p>
        </w:tc>
        <w:tc>
          <w:tcPr>
            <w:tcW w:w="1682" w:type="pct"/>
            <w:vAlign w:val="center"/>
          </w:tcPr>
          <w:p w14:paraId="73562CF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10%苯醚甲环唑水分散粒剂</w:t>
            </w:r>
          </w:p>
        </w:tc>
        <w:tc>
          <w:tcPr>
            <w:tcW w:w="653" w:type="pct"/>
            <w:vAlign w:val="center"/>
          </w:tcPr>
          <w:p w14:paraId="4C06DA9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1500～2000</w:t>
            </w:r>
          </w:p>
        </w:tc>
        <w:tc>
          <w:tcPr>
            <w:tcW w:w="582" w:type="pct"/>
            <w:vAlign w:val="center"/>
          </w:tcPr>
          <w:p w14:paraId="3DFC9FCF">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1F8B9095">
            <w:pPr>
              <w:spacing w:line="240" w:lineRule="auto"/>
              <w:jc w:val="center"/>
              <w:rPr>
                <w:rFonts w:hint="eastAsia" w:ascii="宋体" w:hAnsi="宋体" w:cs="宋体"/>
                <w:color w:val="000000"/>
                <w:sz w:val="18"/>
                <w:szCs w:val="18"/>
              </w:rPr>
            </w:pPr>
          </w:p>
        </w:tc>
        <w:tc>
          <w:tcPr>
            <w:tcW w:w="538" w:type="pct"/>
            <w:vMerge w:val="continue"/>
            <w:vAlign w:val="center"/>
          </w:tcPr>
          <w:p w14:paraId="48366970">
            <w:pPr>
              <w:spacing w:line="240" w:lineRule="auto"/>
              <w:jc w:val="center"/>
              <w:rPr>
                <w:rFonts w:hint="eastAsia" w:ascii="宋体" w:hAnsi="宋体" w:cs="宋体"/>
                <w:color w:val="000000"/>
                <w:sz w:val="18"/>
                <w:szCs w:val="18"/>
              </w:rPr>
            </w:pPr>
          </w:p>
        </w:tc>
      </w:tr>
      <w:tr w14:paraId="126348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1048368E">
            <w:pPr>
              <w:spacing w:line="240" w:lineRule="auto"/>
              <w:jc w:val="center"/>
              <w:rPr>
                <w:rFonts w:hint="eastAsia" w:ascii="宋体" w:hAnsi="宋体" w:cs="宋体"/>
                <w:color w:val="000000"/>
                <w:sz w:val="18"/>
                <w:szCs w:val="18"/>
              </w:rPr>
            </w:pPr>
          </w:p>
        </w:tc>
        <w:tc>
          <w:tcPr>
            <w:tcW w:w="1682" w:type="pct"/>
            <w:vAlign w:val="center"/>
          </w:tcPr>
          <w:p w14:paraId="3D6199E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250g/L吡唑醚菌酯乳油</w:t>
            </w:r>
          </w:p>
        </w:tc>
        <w:tc>
          <w:tcPr>
            <w:tcW w:w="653" w:type="pct"/>
            <w:vAlign w:val="center"/>
          </w:tcPr>
          <w:p w14:paraId="64596B0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1500～3000</w:t>
            </w:r>
          </w:p>
        </w:tc>
        <w:tc>
          <w:tcPr>
            <w:tcW w:w="582" w:type="pct"/>
            <w:vAlign w:val="center"/>
          </w:tcPr>
          <w:p w14:paraId="556D173C">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55212B24">
            <w:pPr>
              <w:spacing w:line="240" w:lineRule="auto"/>
              <w:jc w:val="center"/>
              <w:rPr>
                <w:rFonts w:hint="eastAsia" w:ascii="宋体" w:hAnsi="宋体" w:cs="宋体"/>
                <w:color w:val="000000"/>
                <w:sz w:val="18"/>
                <w:szCs w:val="18"/>
              </w:rPr>
            </w:pPr>
          </w:p>
        </w:tc>
        <w:tc>
          <w:tcPr>
            <w:tcW w:w="538" w:type="pct"/>
            <w:vMerge w:val="continue"/>
            <w:vAlign w:val="center"/>
          </w:tcPr>
          <w:p w14:paraId="7480F5D1">
            <w:pPr>
              <w:spacing w:line="240" w:lineRule="auto"/>
              <w:jc w:val="center"/>
              <w:rPr>
                <w:rFonts w:hint="eastAsia" w:ascii="宋体" w:hAnsi="宋体" w:cs="宋体"/>
                <w:color w:val="000000"/>
                <w:sz w:val="18"/>
                <w:szCs w:val="18"/>
              </w:rPr>
            </w:pPr>
          </w:p>
        </w:tc>
      </w:tr>
      <w:tr w14:paraId="64512F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05EC3C9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白粉病</w:t>
            </w:r>
          </w:p>
        </w:tc>
        <w:tc>
          <w:tcPr>
            <w:tcW w:w="1682" w:type="pct"/>
            <w:vAlign w:val="center"/>
          </w:tcPr>
          <w:p w14:paraId="52DCF9B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25%三唑酮可湿性粉剂</w:t>
            </w:r>
          </w:p>
        </w:tc>
        <w:tc>
          <w:tcPr>
            <w:tcW w:w="653" w:type="pct"/>
            <w:vAlign w:val="center"/>
          </w:tcPr>
          <w:p w14:paraId="0265D12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1000～1200</w:t>
            </w:r>
          </w:p>
        </w:tc>
        <w:tc>
          <w:tcPr>
            <w:tcW w:w="582" w:type="pct"/>
            <w:vAlign w:val="center"/>
          </w:tcPr>
          <w:p w14:paraId="1715AAEC">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354AECD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花期至幼果期。</w:t>
            </w:r>
          </w:p>
        </w:tc>
        <w:tc>
          <w:tcPr>
            <w:tcW w:w="538" w:type="pct"/>
            <w:vMerge w:val="continue"/>
            <w:vAlign w:val="center"/>
          </w:tcPr>
          <w:p w14:paraId="166CBB11">
            <w:pPr>
              <w:spacing w:line="240" w:lineRule="auto"/>
              <w:jc w:val="center"/>
              <w:rPr>
                <w:rFonts w:hint="eastAsia" w:ascii="宋体" w:hAnsi="宋体" w:cs="宋体"/>
                <w:color w:val="000000"/>
                <w:sz w:val="18"/>
                <w:szCs w:val="18"/>
              </w:rPr>
            </w:pPr>
          </w:p>
        </w:tc>
      </w:tr>
      <w:tr w14:paraId="41EC44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198BAD70">
            <w:pPr>
              <w:spacing w:line="240" w:lineRule="auto"/>
              <w:jc w:val="center"/>
              <w:rPr>
                <w:rFonts w:hint="eastAsia" w:ascii="宋体" w:hAnsi="宋体" w:cs="宋体"/>
                <w:color w:val="000000"/>
                <w:sz w:val="18"/>
                <w:szCs w:val="18"/>
              </w:rPr>
            </w:pPr>
          </w:p>
        </w:tc>
        <w:tc>
          <w:tcPr>
            <w:tcW w:w="1682" w:type="pct"/>
            <w:vAlign w:val="center"/>
          </w:tcPr>
          <w:p w14:paraId="1E895E3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50%硫磺胶悬剂</w:t>
            </w:r>
          </w:p>
        </w:tc>
        <w:tc>
          <w:tcPr>
            <w:tcW w:w="653" w:type="pct"/>
            <w:vAlign w:val="center"/>
          </w:tcPr>
          <w:p w14:paraId="16F0CE4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300～500</w:t>
            </w:r>
          </w:p>
        </w:tc>
        <w:tc>
          <w:tcPr>
            <w:tcW w:w="582" w:type="pct"/>
            <w:vAlign w:val="center"/>
          </w:tcPr>
          <w:p w14:paraId="2F26799F">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72149DF4">
            <w:pPr>
              <w:spacing w:line="240" w:lineRule="auto"/>
              <w:jc w:val="center"/>
              <w:rPr>
                <w:rFonts w:hint="eastAsia" w:ascii="宋体" w:hAnsi="宋体" w:cs="宋体"/>
                <w:color w:val="000000"/>
                <w:sz w:val="18"/>
                <w:szCs w:val="18"/>
              </w:rPr>
            </w:pPr>
          </w:p>
        </w:tc>
        <w:tc>
          <w:tcPr>
            <w:tcW w:w="538" w:type="pct"/>
            <w:vMerge w:val="continue"/>
            <w:vAlign w:val="center"/>
          </w:tcPr>
          <w:p w14:paraId="1BFC87A3">
            <w:pPr>
              <w:spacing w:line="240" w:lineRule="auto"/>
              <w:jc w:val="center"/>
              <w:rPr>
                <w:rFonts w:hint="eastAsia" w:ascii="宋体" w:hAnsi="宋体" w:cs="宋体"/>
                <w:color w:val="000000"/>
                <w:sz w:val="18"/>
                <w:szCs w:val="18"/>
              </w:rPr>
            </w:pPr>
          </w:p>
        </w:tc>
      </w:tr>
      <w:tr w14:paraId="2DA564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200F4C0A">
            <w:pPr>
              <w:spacing w:line="240" w:lineRule="auto"/>
              <w:jc w:val="center"/>
              <w:rPr>
                <w:rFonts w:hint="eastAsia" w:ascii="宋体" w:hAnsi="宋体" w:cs="宋体"/>
                <w:color w:val="000000"/>
                <w:sz w:val="18"/>
                <w:szCs w:val="18"/>
              </w:rPr>
            </w:pPr>
          </w:p>
        </w:tc>
        <w:tc>
          <w:tcPr>
            <w:tcW w:w="1682" w:type="pct"/>
            <w:vAlign w:val="center"/>
          </w:tcPr>
          <w:p w14:paraId="05E4DB8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60%唑醚·代森联水分散剂</w:t>
            </w:r>
          </w:p>
        </w:tc>
        <w:tc>
          <w:tcPr>
            <w:tcW w:w="653" w:type="pct"/>
            <w:vAlign w:val="center"/>
          </w:tcPr>
          <w:p w14:paraId="37C7616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1500～2000</w:t>
            </w:r>
          </w:p>
        </w:tc>
        <w:tc>
          <w:tcPr>
            <w:tcW w:w="582" w:type="pct"/>
            <w:vAlign w:val="center"/>
          </w:tcPr>
          <w:p w14:paraId="76EF7FB5">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5D0328CE">
            <w:pPr>
              <w:spacing w:line="240" w:lineRule="auto"/>
              <w:jc w:val="center"/>
              <w:rPr>
                <w:rFonts w:hint="eastAsia" w:ascii="宋体" w:hAnsi="宋体" w:cs="宋体"/>
                <w:color w:val="000000"/>
                <w:sz w:val="18"/>
                <w:szCs w:val="18"/>
              </w:rPr>
            </w:pPr>
          </w:p>
        </w:tc>
        <w:tc>
          <w:tcPr>
            <w:tcW w:w="538" w:type="pct"/>
            <w:vMerge w:val="continue"/>
            <w:vAlign w:val="center"/>
          </w:tcPr>
          <w:p w14:paraId="5D414FF5">
            <w:pPr>
              <w:spacing w:line="240" w:lineRule="auto"/>
              <w:jc w:val="center"/>
              <w:rPr>
                <w:rFonts w:hint="eastAsia" w:ascii="宋体" w:hAnsi="宋体" w:cs="宋体"/>
                <w:color w:val="000000"/>
                <w:sz w:val="18"/>
                <w:szCs w:val="18"/>
              </w:rPr>
            </w:pPr>
          </w:p>
        </w:tc>
      </w:tr>
      <w:tr w14:paraId="585F5B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3CFF6F6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细菌性角斑病</w:t>
            </w:r>
          </w:p>
        </w:tc>
        <w:tc>
          <w:tcPr>
            <w:tcW w:w="1682" w:type="pct"/>
            <w:vAlign w:val="center"/>
          </w:tcPr>
          <w:p w14:paraId="2E61905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53.8%氧氯化铜干悬浮剂</w:t>
            </w:r>
          </w:p>
        </w:tc>
        <w:tc>
          <w:tcPr>
            <w:tcW w:w="653" w:type="pct"/>
            <w:vAlign w:val="center"/>
          </w:tcPr>
          <w:p w14:paraId="6FEB563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800～1000</w:t>
            </w:r>
          </w:p>
        </w:tc>
        <w:tc>
          <w:tcPr>
            <w:tcW w:w="582" w:type="pct"/>
            <w:vAlign w:val="center"/>
          </w:tcPr>
          <w:p w14:paraId="32573214">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562908C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抽梢期，花期，幼果期。</w:t>
            </w:r>
          </w:p>
        </w:tc>
        <w:tc>
          <w:tcPr>
            <w:tcW w:w="538" w:type="pct"/>
            <w:vMerge w:val="continue"/>
            <w:vAlign w:val="center"/>
          </w:tcPr>
          <w:p w14:paraId="7F436AA6">
            <w:pPr>
              <w:spacing w:line="240" w:lineRule="auto"/>
              <w:jc w:val="center"/>
              <w:rPr>
                <w:rFonts w:hint="eastAsia" w:ascii="宋体" w:hAnsi="宋体" w:cs="宋体"/>
                <w:color w:val="000000"/>
                <w:sz w:val="18"/>
                <w:szCs w:val="18"/>
              </w:rPr>
            </w:pPr>
          </w:p>
        </w:tc>
      </w:tr>
      <w:tr w14:paraId="33BB55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5D50329C">
            <w:pPr>
              <w:spacing w:line="240" w:lineRule="auto"/>
              <w:jc w:val="center"/>
              <w:rPr>
                <w:rFonts w:hint="eastAsia" w:ascii="宋体" w:hAnsi="宋体" w:cs="宋体"/>
                <w:color w:val="000000"/>
                <w:sz w:val="18"/>
                <w:szCs w:val="18"/>
              </w:rPr>
            </w:pPr>
          </w:p>
        </w:tc>
        <w:tc>
          <w:tcPr>
            <w:tcW w:w="1682" w:type="pct"/>
            <w:vAlign w:val="center"/>
          </w:tcPr>
          <w:p w14:paraId="68B284A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20%噻菌铜水悬浮剂</w:t>
            </w:r>
          </w:p>
        </w:tc>
        <w:tc>
          <w:tcPr>
            <w:tcW w:w="653" w:type="pct"/>
            <w:vAlign w:val="center"/>
          </w:tcPr>
          <w:p w14:paraId="2397EFC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500～600</w:t>
            </w:r>
          </w:p>
        </w:tc>
        <w:tc>
          <w:tcPr>
            <w:tcW w:w="582" w:type="pct"/>
            <w:vAlign w:val="center"/>
          </w:tcPr>
          <w:p w14:paraId="16D6A1D4">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430AF125">
            <w:pPr>
              <w:spacing w:line="240" w:lineRule="auto"/>
              <w:jc w:val="center"/>
              <w:rPr>
                <w:rFonts w:hint="eastAsia" w:ascii="宋体" w:hAnsi="宋体" w:cs="宋体"/>
                <w:color w:val="000000"/>
                <w:sz w:val="18"/>
                <w:szCs w:val="18"/>
              </w:rPr>
            </w:pPr>
          </w:p>
        </w:tc>
        <w:tc>
          <w:tcPr>
            <w:tcW w:w="538" w:type="pct"/>
            <w:vMerge w:val="continue"/>
            <w:vAlign w:val="center"/>
          </w:tcPr>
          <w:p w14:paraId="15D1FBF3">
            <w:pPr>
              <w:spacing w:line="240" w:lineRule="auto"/>
              <w:jc w:val="center"/>
              <w:rPr>
                <w:rFonts w:hint="eastAsia" w:ascii="宋体" w:hAnsi="宋体" w:cs="宋体"/>
                <w:color w:val="000000"/>
                <w:sz w:val="18"/>
                <w:szCs w:val="18"/>
              </w:rPr>
            </w:pPr>
          </w:p>
        </w:tc>
      </w:tr>
      <w:tr w14:paraId="739F19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34BE4B4D">
            <w:pPr>
              <w:spacing w:line="240" w:lineRule="auto"/>
              <w:jc w:val="center"/>
              <w:rPr>
                <w:rFonts w:hint="eastAsia" w:ascii="宋体" w:hAnsi="宋体" w:cs="宋体"/>
                <w:color w:val="000000"/>
                <w:sz w:val="18"/>
                <w:szCs w:val="18"/>
              </w:rPr>
            </w:pPr>
          </w:p>
        </w:tc>
        <w:tc>
          <w:tcPr>
            <w:tcW w:w="1682" w:type="pct"/>
            <w:vAlign w:val="center"/>
          </w:tcPr>
          <w:p w14:paraId="035BA12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47%春雷霉素·王铜可湿性粉剂</w:t>
            </w:r>
          </w:p>
        </w:tc>
        <w:tc>
          <w:tcPr>
            <w:tcW w:w="653" w:type="pct"/>
            <w:vAlign w:val="center"/>
          </w:tcPr>
          <w:p w14:paraId="6D429A1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600～800</w:t>
            </w:r>
          </w:p>
        </w:tc>
        <w:tc>
          <w:tcPr>
            <w:tcW w:w="582" w:type="pct"/>
            <w:vAlign w:val="center"/>
          </w:tcPr>
          <w:p w14:paraId="2F1DD898">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270B0547">
            <w:pPr>
              <w:spacing w:line="240" w:lineRule="auto"/>
              <w:jc w:val="center"/>
              <w:rPr>
                <w:rFonts w:hint="eastAsia" w:ascii="宋体" w:hAnsi="宋体" w:cs="宋体"/>
                <w:color w:val="000000"/>
                <w:sz w:val="18"/>
                <w:szCs w:val="18"/>
              </w:rPr>
            </w:pPr>
          </w:p>
        </w:tc>
        <w:tc>
          <w:tcPr>
            <w:tcW w:w="538" w:type="pct"/>
            <w:vMerge w:val="continue"/>
            <w:vAlign w:val="center"/>
          </w:tcPr>
          <w:p w14:paraId="6CD64843">
            <w:pPr>
              <w:spacing w:line="240" w:lineRule="auto"/>
              <w:jc w:val="center"/>
              <w:rPr>
                <w:rFonts w:hint="eastAsia" w:ascii="宋体" w:hAnsi="宋体" w:cs="宋体"/>
                <w:color w:val="000000"/>
                <w:sz w:val="18"/>
                <w:szCs w:val="18"/>
              </w:rPr>
            </w:pPr>
          </w:p>
        </w:tc>
      </w:tr>
      <w:tr w14:paraId="54255E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39A2BB7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露水斑病</w:t>
            </w:r>
          </w:p>
        </w:tc>
        <w:tc>
          <w:tcPr>
            <w:tcW w:w="1682" w:type="pct"/>
            <w:vAlign w:val="center"/>
          </w:tcPr>
          <w:p w14:paraId="32FD937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50%多菌灵可湿性粉剂</w:t>
            </w:r>
          </w:p>
        </w:tc>
        <w:tc>
          <w:tcPr>
            <w:tcW w:w="653" w:type="pct"/>
            <w:vAlign w:val="center"/>
          </w:tcPr>
          <w:p w14:paraId="450F765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700～1000</w:t>
            </w:r>
          </w:p>
        </w:tc>
        <w:tc>
          <w:tcPr>
            <w:tcW w:w="582" w:type="pct"/>
            <w:vAlign w:val="center"/>
          </w:tcPr>
          <w:p w14:paraId="7D3C3C06">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0AD7B0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幼果期至青熟期。</w:t>
            </w:r>
          </w:p>
        </w:tc>
        <w:tc>
          <w:tcPr>
            <w:tcW w:w="538" w:type="pct"/>
            <w:vMerge w:val="continue"/>
            <w:vAlign w:val="center"/>
          </w:tcPr>
          <w:p w14:paraId="0F9B4EA9">
            <w:pPr>
              <w:spacing w:line="240" w:lineRule="auto"/>
              <w:jc w:val="center"/>
              <w:rPr>
                <w:rFonts w:hint="eastAsia" w:ascii="宋体" w:hAnsi="宋体" w:cs="宋体"/>
                <w:color w:val="000000"/>
                <w:sz w:val="18"/>
                <w:szCs w:val="18"/>
              </w:rPr>
            </w:pPr>
          </w:p>
        </w:tc>
      </w:tr>
      <w:tr w14:paraId="015372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389F463A">
            <w:pPr>
              <w:spacing w:line="240" w:lineRule="auto"/>
              <w:jc w:val="center"/>
              <w:rPr>
                <w:rFonts w:hint="eastAsia" w:ascii="宋体" w:hAnsi="宋体" w:cs="宋体"/>
                <w:color w:val="000000"/>
                <w:sz w:val="18"/>
                <w:szCs w:val="18"/>
              </w:rPr>
            </w:pPr>
          </w:p>
        </w:tc>
        <w:tc>
          <w:tcPr>
            <w:tcW w:w="1682" w:type="pct"/>
            <w:vAlign w:val="center"/>
          </w:tcPr>
          <w:p w14:paraId="5155F6E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80%代森锰锌可湿性粉剂</w:t>
            </w:r>
          </w:p>
        </w:tc>
        <w:tc>
          <w:tcPr>
            <w:tcW w:w="653" w:type="pct"/>
            <w:vAlign w:val="center"/>
          </w:tcPr>
          <w:p w14:paraId="69ED37C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600～800</w:t>
            </w:r>
          </w:p>
        </w:tc>
        <w:tc>
          <w:tcPr>
            <w:tcW w:w="582" w:type="pct"/>
            <w:vAlign w:val="center"/>
          </w:tcPr>
          <w:p w14:paraId="4C82D5C4">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524FAAAD">
            <w:pPr>
              <w:spacing w:line="240" w:lineRule="auto"/>
              <w:jc w:val="center"/>
              <w:rPr>
                <w:rFonts w:hint="eastAsia" w:ascii="宋体" w:hAnsi="宋体" w:cs="宋体"/>
                <w:color w:val="000000"/>
                <w:sz w:val="18"/>
                <w:szCs w:val="18"/>
              </w:rPr>
            </w:pPr>
          </w:p>
        </w:tc>
        <w:tc>
          <w:tcPr>
            <w:tcW w:w="538" w:type="pct"/>
            <w:vMerge w:val="continue"/>
            <w:vAlign w:val="center"/>
          </w:tcPr>
          <w:p w14:paraId="55538CF5">
            <w:pPr>
              <w:spacing w:line="240" w:lineRule="auto"/>
              <w:jc w:val="center"/>
              <w:rPr>
                <w:rFonts w:hint="eastAsia" w:ascii="宋体" w:hAnsi="宋体" w:cs="宋体"/>
                <w:color w:val="000000"/>
                <w:sz w:val="18"/>
                <w:szCs w:val="18"/>
              </w:rPr>
            </w:pPr>
          </w:p>
        </w:tc>
      </w:tr>
      <w:tr w14:paraId="582CAB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795262D3">
            <w:pPr>
              <w:spacing w:line="240" w:lineRule="auto"/>
              <w:jc w:val="center"/>
              <w:rPr>
                <w:rFonts w:hint="eastAsia" w:ascii="宋体" w:hAnsi="宋体" w:cs="宋体"/>
                <w:color w:val="000000"/>
                <w:sz w:val="18"/>
                <w:szCs w:val="18"/>
              </w:rPr>
            </w:pPr>
          </w:p>
        </w:tc>
        <w:tc>
          <w:tcPr>
            <w:tcW w:w="1682" w:type="pct"/>
            <w:vAlign w:val="center"/>
          </w:tcPr>
          <w:p w14:paraId="68A6429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10%苯醚甲环唑水分散粒剂</w:t>
            </w:r>
          </w:p>
        </w:tc>
        <w:tc>
          <w:tcPr>
            <w:tcW w:w="653" w:type="pct"/>
            <w:vAlign w:val="center"/>
          </w:tcPr>
          <w:p w14:paraId="4D55B60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1500～2000</w:t>
            </w:r>
          </w:p>
        </w:tc>
        <w:tc>
          <w:tcPr>
            <w:tcW w:w="582" w:type="pct"/>
            <w:vAlign w:val="center"/>
          </w:tcPr>
          <w:p w14:paraId="6C353190">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4FBB474A">
            <w:pPr>
              <w:spacing w:line="240" w:lineRule="auto"/>
              <w:jc w:val="center"/>
              <w:rPr>
                <w:rFonts w:hint="eastAsia" w:ascii="宋体" w:hAnsi="宋体" w:cs="宋体"/>
                <w:color w:val="000000"/>
                <w:sz w:val="18"/>
                <w:szCs w:val="18"/>
              </w:rPr>
            </w:pPr>
          </w:p>
        </w:tc>
        <w:tc>
          <w:tcPr>
            <w:tcW w:w="538" w:type="pct"/>
            <w:vMerge w:val="continue"/>
            <w:vAlign w:val="center"/>
          </w:tcPr>
          <w:p w14:paraId="5EAAC3F6">
            <w:pPr>
              <w:spacing w:line="240" w:lineRule="auto"/>
              <w:jc w:val="center"/>
              <w:rPr>
                <w:rFonts w:hint="eastAsia" w:ascii="宋体" w:hAnsi="宋体" w:cs="宋体"/>
                <w:color w:val="000000"/>
                <w:sz w:val="18"/>
                <w:szCs w:val="18"/>
              </w:rPr>
            </w:pPr>
          </w:p>
        </w:tc>
      </w:tr>
      <w:tr w14:paraId="280AA9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44C2061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蓟马</w:t>
            </w:r>
          </w:p>
        </w:tc>
        <w:tc>
          <w:tcPr>
            <w:tcW w:w="1682" w:type="pct"/>
            <w:vAlign w:val="center"/>
          </w:tcPr>
          <w:p w14:paraId="6270E48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60g/L乙基多杀菌素悬浮剂</w:t>
            </w:r>
          </w:p>
        </w:tc>
        <w:tc>
          <w:tcPr>
            <w:tcW w:w="653" w:type="pct"/>
            <w:vAlign w:val="center"/>
          </w:tcPr>
          <w:p w14:paraId="1FFB8A5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1500～2500</w:t>
            </w:r>
          </w:p>
        </w:tc>
        <w:tc>
          <w:tcPr>
            <w:tcW w:w="582" w:type="pct"/>
            <w:vAlign w:val="center"/>
          </w:tcPr>
          <w:p w14:paraId="0FF65AFC">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790D3E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花期至幼果期。</w:t>
            </w:r>
          </w:p>
        </w:tc>
        <w:tc>
          <w:tcPr>
            <w:tcW w:w="538" w:type="pct"/>
            <w:vMerge w:val="continue"/>
            <w:vAlign w:val="center"/>
          </w:tcPr>
          <w:p w14:paraId="0C1BF820">
            <w:pPr>
              <w:spacing w:line="240" w:lineRule="auto"/>
              <w:jc w:val="center"/>
              <w:rPr>
                <w:rFonts w:hint="eastAsia" w:ascii="宋体" w:hAnsi="宋体" w:cs="宋体"/>
                <w:color w:val="000000"/>
                <w:sz w:val="18"/>
                <w:szCs w:val="18"/>
              </w:rPr>
            </w:pPr>
          </w:p>
        </w:tc>
      </w:tr>
      <w:tr w14:paraId="559F1D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3C1C720B">
            <w:pPr>
              <w:spacing w:line="240" w:lineRule="auto"/>
              <w:jc w:val="center"/>
              <w:rPr>
                <w:rFonts w:hint="eastAsia" w:ascii="宋体" w:hAnsi="宋体" w:cs="宋体"/>
                <w:color w:val="000000"/>
                <w:sz w:val="18"/>
                <w:szCs w:val="18"/>
              </w:rPr>
            </w:pPr>
          </w:p>
        </w:tc>
        <w:tc>
          <w:tcPr>
            <w:tcW w:w="1682" w:type="pct"/>
            <w:vAlign w:val="center"/>
          </w:tcPr>
          <w:p w14:paraId="2A4FF72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70%吡虫啉水分散粒剂</w:t>
            </w:r>
          </w:p>
        </w:tc>
        <w:tc>
          <w:tcPr>
            <w:tcW w:w="653" w:type="pct"/>
            <w:vAlign w:val="center"/>
          </w:tcPr>
          <w:p w14:paraId="58CA316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2000～2500</w:t>
            </w:r>
          </w:p>
        </w:tc>
        <w:tc>
          <w:tcPr>
            <w:tcW w:w="582" w:type="pct"/>
            <w:vAlign w:val="center"/>
          </w:tcPr>
          <w:p w14:paraId="5FD5C46F">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26DDC0E0">
            <w:pPr>
              <w:spacing w:line="240" w:lineRule="auto"/>
              <w:jc w:val="center"/>
              <w:rPr>
                <w:rFonts w:hint="eastAsia" w:ascii="宋体" w:hAnsi="宋体" w:cs="宋体"/>
                <w:color w:val="000000"/>
                <w:sz w:val="18"/>
                <w:szCs w:val="18"/>
              </w:rPr>
            </w:pPr>
          </w:p>
        </w:tc>
        <w:tc>
          <w:tcPr>
            <w:tcW w:w="538" w:type="pct"/>
            <w:vMerge w:val="continue"/>
            <w:vAlign w:val="center"/>
          </w:tcPr>
          <w:p w14:paraId="243D1018">
            <w:pPr>
              <w:spacing w:line="240" w:lineRule="auto"/>
              <w:jc w:val="center"/>
              <w:rPr>
                <w:rFonts w:hint="eastAsia" w:ascii="宋体" w:hAnsi="宋体" w:cs="宋体"/>
                <w:color w:val="000000"/>
                <w:sz w:val="18"/>
                <w:szCs w:val="18"/>
              </w:rPr>
            </w:pPr>
          </w:p>
        </w:tc>
      </w:tr>
      <w:tr w14:paraId="10BB67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543A59A3">
            <w:pPr>
              <w:spacing w:line="240" w:lineRule="auto"/>
              <w:jc w:val="center"/>
              <w:rPr>
                <w:rFonts w:hint="eastAsia" w:ascii="宋体" w:hAnsi="宋体" w:cs="宋体"/>
                <w:color w:val="000000"/>
                <w:sz w:val="18"/>
                <w:szCs w:val="18"/>
              </w:rPr>
            </w:pPr>
          </w:p>
        </w:tc>
        <w:tc>
          <w:tcPr>
            <w:tcW w:w="1682" w:type="pct"/>
            <w:vAlign w:val="center"/>
          </w:tcPr>
          <w:p w14:paraId="5D8DA24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 甲氨基阿维菌素苯甲酸盐微乳剂</w:t>
            </w:r>
          </w:p>
        </w:tc>
        <w:tc>
          <w:tcPr>
            <w:tcW w:w="653" w:type="pct"/>
            <w:vAlign w:val="center"/>
          </w:tcPr>
          <w:p w14:paraId="1D972C0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1000～1500</w:t>
            </w:r>
          </w:p>
        </w:tc>
        <w:tc>
          <w:tcPr>
            <w:tcW w:w="582" w:type="pct"/>
            <w:vAlign w:val="center"/>
          </w:tcPr>
          <w:p w14:paraId="4B80BECA">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252438B5">
            <w:pPr>
              <w:spacing w:line="240" w:lineRule="auto"/>
              <w:jc w:val="center"/>
              <w:rPr>
                <w:rFonts w:hint="eastAsia" w:ascii="宋体" w:hAnsi="宋体" w:cs="宋体"/>
                <w:color w:val="000000"/>
                <w:sz w:val="18"/>
                <w:szCs w:val="18"/>
              </w:rPr>
            </w:pPr>
          </w:p>
        </w:tc>
        <w:tc>
          <w:tcPr>
            <w:tcW w:w="538" w:type="pct"/>
            <w:vMerge w:val="continue"/>
            <w:vAlign w:val="center"/>
          </w:tcPr>
          <w:p w14:paraId="79A02BC0">
            <w:pPr>
              <w:spacing w:line="240" w:lineRule="auto"/>
              <w:jc w:val="center"/>
              <w:rPr>
                <w:rFonts w:hint="eastAsia" w:ascii="宋体" w:hAnsi="宋体" w:cs="宋体"/>
                <w:color w:val="000000"/>
                <w:sz w:val="18"/>
                <w:szCs w:val="18"/>
              </w:rPr>
            </w:pPr>
          </w:p>
        </w:tc>
      </w:tr>
      <w:tr w14:paraId="5B0374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0072F2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叶瘿蚊</w:t>
            </w:r>
          </w:p>
        </w:tc>
        <w:tc>
          <w:tcPr>
            <w:tcW w:w="1682" w:type="pct"/>
            <w:vAlign w:val="center"/>
          </w:tcPr>
          <w:p w14:paraId="54CE3D0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10%顺势氯氰菊酯乳油</w:t>
            </w:r>
          </w:p>
        </w:tc>
        <w:tc>
          <w:tcPr>
            <w:tcW w:w="653" w:type="pct"/>
            <w:vAlign w:val="center"/>
          </w:tcPr>
          <w:p w14:paraId="0708A45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582" w:type="pct"/>
            <w:vAlign w:val="center"/>
          </w:tcPr>
          <w:p w14:paraId="71957EA3">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0F2815A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夏梢期及秋梢期。</w:t>
            </w:r>
          </w:p>
        </w:tc>
        <w:tc>
          <w:tcPr>
            <w:tcW w:w="538" w:type="pct"/>
            <w:vMerge w:val="continue"/>
            <w:vAlign w:val="center"/>
          </w:tcPr>
          <w:p w14:paraId="0FD4350A">
            <w:pPr>
              <w:spacing w:line="240" w:lineRule="auto"/>
              <w:jc w:val="center"/>
              <w:rPr>
                <w:rFonts w:hint="eastAsia" w:ascii="宋体" w:hAnsi="宋体" w:cs="宋体"/>
                <w:color w:val="000000"/>
                <w:sz w:val="18"/>
                <w:szCs w:val="18"/>
              </w:rPr>
            </w:pPr>
          </w:p>
        </w:tc>
      </w:tr>
      <w:tr w14:paraId="21008A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2E8747F9">
            <w:pPr>
              <w:spacing w:line="240" w:lineRule="auto"/>
              <w:jc w:val="center"/>
              <w:rPr>
                <w:rFonts w:hint="eastAsia" w:ascii="宋体" w:hAnsi="宋体" w:cs="宋体"/>
                <w:color w:val="000000"/>
                <w:sz w:val="18"/>
                <w:szCs w:val="18"/>
              </w:rPr>
            </w:pPr>
          </w:p>
        </w:tc>
        <w:tc>
          <w:tcPr>
            <w:tcW w:w="1682" w:type="pct"/>
            <w:vAlign w:val="center"/>
          </w:tcPr>
          <w:p w14:paraId="16E0F8F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10%联苯菊酯乳油</w:t>
            </w:r>
          </w:p>
        </w:tc>
        <w:tc>
          <w:tcPr>
            <w:tcW w:w="653" w:type="pct"/>
            <w:vAlign w:val="center"/>
          </w:tcPr>
          <w:p w14:paraId="4FBC0FF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2000～2500</w:t>
            </w:r>
          </w:p>
        </w:tc>
        <w:tc>
          <w:tcPr>
            <w:tcW w:w="582" w:type="pct"/>
            <w:vAlign w:val="center"/>
          </w:tcPr>
          <w:p w14:paraId="7CBC862F">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6774C005">
            <w:pPr>
              <w:spacing w:line="240" w:lineRule="auto"/>
              <w:jc w:val="center"/>
              <w:rPr>
                <w:rFonts w:hint="eastAsia" w:ascii="宋体" w:hAnsi="宋体" w:cs="宋体"/>
                <w:color w:val="000000"/>
                <w:sz w:val="18"/>
                <w:szCs w:val="18"/>
              </w:rPr>
            </w:pPr>
          </w:p>
        </w:tc>
        <w:tc>
          <w:tcPr>
            <w:tcW w:w="538" w:type="pct"/>
            <w:vMerge w:val="continue"/>
            <w:vAlign w:val="center"/>
          </w:tcPr>
          <w:p w14:paraId="04F75EE8">
            <w:pPr>
              <w:spacing w:line="240" w:lineRule="auto"/>
              <w:jc w:val="center"/>
              <w:rPr>
                <w:rFonts w:hint="eastAsia" w:ascii="宋体" w:hAnsi="宋体" w:cs="宋体"/>
                <w:color w:val="000000"/>
                <w:sz w:val="18"/>
                <w:szCs w:val="18"/>
              </w:rPr>
            </w:pPr>
          </w:p>
        </w:tc>
      </w:tr>
      <w:tr w14:paraId="6E0ECB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2CD3EE21">
            <w:pPr>
              <w:spacing w:line="240" w:lineRule="auto"/>
              <w:jc w:val="center"/>
              <w:rPr>
                <w:rFonts w:hint="eastAsia" w:ascii="宋体" w:hAnsi="宋体" w:cs="宋体"/>
                <w:color w:val="000000"/>
                <w:sz w:val="18"/>
                <w:szCs w:val="18"/>
              </w:rPr>
            </w:pPr>
          </w:p>
        </w:tc>
        <w:tc>
          <w:tcPr>
            <w:tcW w:w="1682" w:type="pct"/>
            <w:vAlign w:val="center"/>
          </w:tcPr>
          <w:p w14:paraId="59632A1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25%噻嗪酮可湿性粉剂</w:t>
            </w:r>
          </w:p>
        </w:tc>
        <w:tc>
          <w:tcPr>
            <w:tcW w:w="653" w:type="pct"/>
            <w:vAlign w:val="center"/>
          </w:tcPr>
          <w:p w14:paraId="4C51FCA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1000～1500</w:t>
            </w:r>
          </w:p>
        </w:tc>
        <w:tc>
          <w:tcPr>
            <w:tcW w:w="582" w:type="pct"/>
            <w:vAlign w:val="center"/>
          </w:tcPr>
          <w:p w14:paraId="0057A0FE">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3CC7D477">
            <w:pPr>
              <w:spacing w:line="240" w:lineRule="auto"/>
              <w:jc w:val="center"/>
              <w:rPr>
                <w:rFonts w:hint="eastAsia" w:ascii="宋体" w:hAnsi="宋体" w:cs="宋体"/>
                <w:color w:val="000000"/>
                <w:sz w:val="18"/>
                <w:szCs w:val="18"/>
              </w:rPr>
            </w:pPr>
          </w:p>
        </w:tc>
        <w:tc>
          <w:tcPr>
            <w:tcW w:w="538" w:type="pct"/>
            <w:vMerge w:val="continue"/>
            <w:vAlign w:val="center"/>
          </w:tcPr>
          <w:p w14:paraId="592EA8CE">
            <w:pPr>
              <w:spacing w:line="240" w:lineRule="auto"/>
              <w:jc w:val="center"/>
              <w:rPr>
                <w:rFonts w:hint="eastAsia" w:ascii="宋体" w:hAnsi="宋体" w:cs="宋体"/>
                <w:color w:val="000000"/>
                <w:sz w:val="18"/>
                <w:szCs w:val="18"/>
              </w:rPr>
            </w:pPr>
          </w:p>
        </w:tc>
      </w:tr>
      <w:tr w14:paraId="2365EA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489AAC2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横线尾夜蛾</w:t>
            </w:r>
          </w:p>
        </w:tc>
        <w:tc>
          <w:tcPr>
            <w:tcW w:w="1682" w:type="pct"/>
            <w:vAlign w:val="center"/>
          </w:tcPr>
          <w:p w14:paraId="70CB4A2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 甲氨基阿维菌素苯甲酸盐微乳剂</w:t>
            </w:r>
          </w:p>
        </w:tc>
        <w:tc>
          <w:tcPr>
            <w:tcW w:w="653" w:type="pct"/>
            <w:vAlign w:val="center"/>
          </w:tcPr>
          <w:p w14:paraId="41E9A3C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1000～1500</w:t>
            </w:r>
          </w:p>
        </w:tc>
        <w:tc>
          <w:tcPr>
            <w:tcW w:w="582" w:type="pct"/>
            <w:vAlign w:val="center"/>
          </w:tcPr>
          <w:p w14:paraId="3B3CAD7C">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21D83D9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秋梢期</w:t>
            </w:r>
          </w:p>
        </w:tc>
        <w:tc>
          <w:tcPr>
            <w:tcW w:w="538" w:type="pct"/>
            <w:vMerge w:val="continue"/>
            <w:vAlign w:val="center"/>
          </w:tcPr>
          <w:p w14:paraId="7FC0D2DA">
            <w:pPr>
              <w:spacing w:line="240" w:lineRule="auto"/>
              <w:jc w:val="center"/>
              <w:rPr>
                <w:rFonts w:hint="eastAsia" w:ascii="宋体" w:hAnsi="宋体" w:cs="宋体"/>
                <w:color w:val="000000"/>
                <w:sz w:val="18"/>
                <w:szCs w:val="18"/>
              </w:rPr>
            </w:pPr>
          </w:p>
        </w:tc>
      </w:tr>
      <w:tr w14:paraId="7E1519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17D20F42">
            <w:pPr>
              <w:spacing w:line="240" w:lineRule="auto"/>
              <w:jc w:val="center"/>
              <w:rPr>
                <w:rFonts w:hint="eastAsia" w:ascii="宋体" w:hAnsi="宋体" w:cs="宋体"/>
                <w:color w:val="000000"/>
                <w:sz w:val="18"/>
                <w:szCs w:val="18"/>
              </w:rPr>
            </w:pPr>
          </w:p>
        </w:tc>
        <w:tc>
          <w:tcPr>
            <w:tcW w:w="1682" w:type="pct"/>
            <w:vAlign w:val="center"/>
          </w:tcPr>
          <w:p w14:paraId="70A0127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 阿维菌素乳油</w:t>
            </w:r>
          </w:p>
        </w:tc>
        <w:tc>
          <w:tcPr>
            <w:tcW w:w="653" w:type="pct"/>
            <w:vAlign w:val="center"/>
          </w:tcPr>
          <w:p w14:paraId="47F167F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1500～2500</w:t>
            </w:r>
          </w:p>
        </w:tc>
        <w:tc>
          <w:tcPr>
            <w:tcW w:w="582" w:type="pct"/>
            <w:vAlign w:val="center"/>
          </w:tcPr>
          <w:p w14:paraId="132EA855">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7FFC756E">
            <w:pPr>
              <w:spacing w:line="240" w:lineRule="auto"/>
              <w:jc w:val="center"/>
              <w:rPr>
                <w:rFonts w:hint="eastAsia" w:ascii="宋体" w:hAnsi="宋体" w:cs="宋体"/>
                <w:color w:val="000000"/>
                <w:sz w:val="18"/>
                <w:szCs w:val="18"/>
              </w:rPr>
            </w:pPr>
          </w:p>
        </w:tc>
        <w:tc>
          <w:tcPr>
            <w:tcW w:w="538" w:type="pct"/>
            <w:vMerge w:val="continue"/>
            <w:vAlign w:val="center"/>
          </w:tcPr>
          <w:p w14:paraId="1331F1C7">
            <w:pPr>
              <w:spacing w:line="240" w:lineRule="auto"/>
              <w:jc w:val="center"/>
              <w:rPr>
                <w:rFonts w:hint="eastAsia" w:ascii="宋体" w:hAnsi="宋体" w:cs="宋体"/>
                <w:color w:val="000000"/>
                <w:sz w:val="18"/>
                <w:szCs w:val="18"/>
              </w:rPr>
            </w:pPr>
          </w:p>
        </w:tc>
      </w:tr>
      <w:tr w14:paraId="2C642D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0A865558">
            <w:pPr>
              <w:spacing w:line="240" w:lineRule="auto"/>
              <w:jc w:val="center"/>
              <w:rPr>
                <w:rFonts w:hint="eastAsia" w:ascii="宋体" w:hAnsi="宋体" w:cs="宋体"/>
                <w:color w:val="000000"/>
                <w:sz w:val="18"/>
                <w:szCs w:val="18"/>
              </w:rPr>
            </w:pPr>
          </w:p>
        </w:tc>
        <w:tc>
          <w:tcPr>
            <w:tcW w:w="1682" w:type="pct"/>
            <w:vAlign w:val="center"/>
          </w:tcPr>
          <w:p w14:paraId="5E84C8A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8000IU/mg苏云金杆菌可湿性粉剂</w:t>
            </w:r>
          </w:p>
        </w:tc>
        <w:tc>
          <w:tcPr>
            <w:tcW w:w="653" w:type="pct"/>
            <w:vAlign w:val="center"/>
          </w:tcPr>
          <w:p w14:paraId="271213D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1000～1500</w:t>
            </w:r>
          </w:p>
        </w:tc>
        <w:tc>
          <w:tcPr>
            <w:tcW w:w="582" w:type="pct"/>
            <w:vAlign w:val="center"/>
          </w:tcPr>
          <w:p w14:paraId="7B901E41">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62E5AD2E">
            <w:pPr>
              <w:spacing w:line="240" w:lineRule="auto"/>
              <w:jc w:val="center"/>
              <w:rPr>
                <w:rFonts w:hint="eastAsia" w:ascii="宋体" w:hAnsi="宋体" w:cs="宋体"/>
                <w:color w:val="000000"/>
                <w:sz w:val="18"/>
                <w:szCs w:val="18"/>
              </w:rPr>
            </w:pPr>
          </w:p>
        </w:tc>
        <w:tc>
          <w:tcPr>
            <w:tcW w:w="538" w:type="pct"/>
            <w:vMerge w:val="continue"/>
            <w:vAlign w:val="center"/>
          </w:tcPr>
          <w:p w14:paraId="2031AA6F">
            <w:pPr>
              <w:spacing w:line="240" w:lineRule="auto"/>
              <w:jc w:val="center"/>
              <w:rPr>
                <w:rFonts w:hint="eastAsia" w:ascii="宋体" w:hAnsi="宋体" w:cs="宋体"/>
                <w:color w:val="000000"/>
                <w:sz w:val="18"/>
                <w:szCs w:val="18"/>
              </w:rPr>
            </w:pPr>
          </w:p>
        </w:tc>
      </w:tr>
      <w:tr w14:paraId="46DD91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1A2AE00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芒果切叶象甲</w:t>
            </w:r>
          </w:p>
        </w:tc>
        <w:tc>
          <w:tcPr>
            <w:tcW w:w="1682" w:type="pct"/>
            <w:vAlign w:val="center"/>
          </w:tcPr>
          <w:p w14:paraId="79E14C73">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4.5%高效氯氰菊酯水乳剂</w:t>
            </w:r>
          </w:p>
        </w:tc>
        <w:tc>
          <w:tcPr>
            <w:tcW w:w="653" w:type="pct"/>
            <w:vAlign w:val="center"/>
          </w:tcPr>
          <w:p w14:paraId="533EC4C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582" w:type="pct"/>
            <w:vAlign w:val="center"/>
          </w:tcPr>
          <w:p w14:paraId="2A10AB0A">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5C7E6BC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夏梢期及秋梢期。</w:t>
            </w:r>
          </w:p>
        </w:tc>
        <w:tc>
          <w:tcPr>
            <w:tcW w:w="538" w:type="pct"/>
            <w:vMerge w:val="continue"/>
            <w:vAlign w:val="center"/>
          </w:tcPr>
          <w:p w14:paraId="78FAC17B">
            <w:pPr>
              <w:spacing w:line="240" w:lineRule="auto"/>
              <w:jc w:val="center"/>
              <w:rPr>
                <w:rFonts w:hint="eastAsia" w:ascii="宋体" w:hAnsi="宋体" w:cs="宋体"/>
                <w:color w:val="000000"/>
                <w:sz w:val="18"/>
                <w:szCs w:val="18"/>
              </w:rPr>
            </w:pPr>
          </w:p>
        </w:tc>
      </w:tr>
      <w:tr w14:paraId="3C4003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3D1E2BB2">
            <w:pPr>
              <w:spacing w:line="240" w:lineRule="auto"/>
              <w:jc w:val="center"/>
              <w:rPr>
                <w:rFonts w:hint="eastAsia" w:ascii="宋体" w:hAnsi="宋体" w:cs="宋体"/>
                <w:color w:val="000000"/>
                <w:sz w:val="18"/>
                <w:szCs w:val="18"/>
              </w:rPr>
            </w:pPr>
          </w:p>
        </w:tc>
        <w:tc>
          <w:tcPr>
            <w:tcW w:w="1682" w:type="pct"/>
            <w:vAlign w:val="center"/>
          </w:tcPr>
          <w:p w14:paraId="497F2B1F">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2.5%溴氰菊酯微乳剂</w:t>
            </w:r>
          </w:p>
        </w:tc>
        <w:tc>
          <w:tcPr>
            <w:tcW w:w="653" w:type="pct"/>
            <w:vAlign w:val="center"/>
          </w:tcPr>
          <w:p w14:paraId="2EA62DD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1500～2000</w:t>
            </w:r>
          </w:p>
        </w:tc>
        <w:tc>
          <w:tcPr>
            <w:tcW w:w="582" w:type="pct"/>
            <w:vAlign w:val="center"/>
          </w:tcPr>
          <w:p w14:paraId="383941F6">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07A43E55">
            <w:pPr>
              <w:spacing w:line="240" w:lineRule="auto"/>
              <w:jc w:val="center"/>
              <w:rPr>
                <w:rFonts w:hint="eastAsia" w:ascii="宋体" w:hAnsi="宋体" w:cs="宋体"/>
                <w:color w:val="000000"/>
                <w:sz w:val="18"/>
                <w:szCs w:val="18"/>
              </w:rPr>
            </w:pPr>
          </w:p>
        </w:tc>
        <w:tc>
          <w:tcPr>
            <w:tcW w:w="538" w:type="pct"/>
            <w:vMerge w:val="continue"/>
            <w:vAlign w:val="center"/>
          </w:tcPr>
          <w:p w14:paraId="42F7ECB0">
            <w:pPr>
              <w:spacing w:line="240" w:lineRule="auto"/>
              <w:jc w:val="center"/>
              <w:rPr>
                <w:rFonts w:hint="eastAsia" w:ascii="宋体" w:hAnsi="宋体" w:cs="宋体"/>
                <w:color w:val="000000"/>
                <w:sz w:val="18"/>
                <w:szCs w:val="18"/>
              </w:rPr>
            </w:pPr>
          </w:p>
        </w:tc>
      </w:tr>
      <w:tr w14:paraId="2E4D87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7ECFCD6D">
            <w:pPr>
              <w:spacing w:line="240" w:lineRule="auto"/>
              <w:jc w:val="center"/>
              <w:rPr>
                <w:rFonts w:hint="eastAsia" w:ascii="宋体" w:hAnsi="宋体" w:cs="宋体"/>
                <w:color w:val="000000"/>
                <w:sz w:val="18"/>
                <w:szCs w:val="18"/>
              </w:rPr>
            </w:pPr>
          </w:p>
        </w:tc>
        <w:tc>
          <w:tcPr>
            <w:tcW w:w="1682" w:type="pct"/>
            <w:vAlign w:val="center"/>
          </w:tcPr>
          <w:p w14:paraId="0508B939">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10%联苯菊酯乳油</w:t>
            </w:r>
          </w:p>
        </w:tc>
        <w:tc>
          <w:tcPr>
            <w:tcW w:w="653" w:type="pct"/>
            <w:vAlign w:val="center"/>
          </w:tcPr>
          <w:p w14:paraId="3AB6857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2000～2500</w:t>
            </w:r>
          </w:p>
        </w:tc>
        <w:tc>
          <w:tcPr>
            <w:tcW w:w="582" w:type="pct"/>
            <w:vAlign w:val="center"/>
          </w:tcPr>
          <w:p w14:paraId="072B0432">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184C9D1A">
            <w:pPr>
              <w:spacing w:line="240" w:lineRule="auto"/>
              <w:jc w:val="center"/>
              <w:rPr>
                <w:rFonts w:hint="eastAsia" w:ascii="宋体" w:hAnsi="宋体" w:cs="宋体"/>
                <w:color w:val="000000"/>
                <w:sz w:val="18"/>
                <w:szCs w:val="18"/>
              </w:rPr>
            </w:pPr>
          </w:p>
        </w:tc>
        <w:tc>
          <w:tcPr>
            <w:tcW w:w="538" w:type="pct"/>
            <w:vMerge w:val="continue"/>
            <w:vAlign w:val="center"/>
          </w:tcPr>
          <w:p w14:paraId="4E33A4FE">
            <w:pPr>
              <w:spacing w:line="240" w:lineRule="auto"/>
              <w:jc w:val="center"/>
              <w:rPr>
                <w:rFonts w:hint="eastAsia" w:ascii="宋体" w:hAnsi="宋体" w:cs="宋体"/>
                <w:color w:val="000000"/>
                <w:sz w:val="18"/>
                <w:szCs w:val="18"/>
              </w:rPr>
            </w:pPr>
          </w:p>
        </w:tc>
      </w:tr>
      <w:tr w14:paraId="79B05E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restart"/>
            <w:vAlign w:val="center"/>
          </w:tcPr>
          <w:p w14:paraId="6F44E0A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介壳虫</w:t>
            </w:r>
          </w:p>
        </w:tc>
        <w:tc>
          <w:tcPr>
            <w:tcW w:w="1682" w:type="pct"/>
            <w:vAlign w:val="center"/>
          </w:tcPr>
          <w:p w14:paraId="406C9D86">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22.4%螺虫乙酯悬浮剂</w:t>
            </w:r>
          </w:p>
        </w:tc>
        <w:tc>
          <w:tcPr>
            <w:tcW w:w="653" w:type="pct"/>
            <w:vAlign w:val="center"/>
          </w:tcPr>
          <w:p w14:paraId="21E3F29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2500～3000</w:t>
            </w:r>
          </w:p>
        </w:tc>
        <w:tc>
          <w:tcPr>
            <w:tcW w:w="582" w:type="pct"/>
            <w:vAlign w:val="center"/>
          </w:tcPr>
          <w:p w14:paraId="40DDC386">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restart"/>
            <w:vAlign w:val="center"/>
          </w:tcPr>
          <w:p w14:paraId="16A2C88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果实青熟期。</w:t>
            </w:r>
          </w:p>
        </w:tc>
        <w:tc>
          <w:tcPr>
            <w:tcW w:w="538" w:type="pct"/>
            <w:vMerge w:val="continue"/>
            <w:vAlign w:val="center"/>
          </w:tcPr>
          <w:p w14:paraId="7DF34BD0">
            <w:pPr>
              <w:spacing w:line="240" w:lineRule="auto"/>
              <w:jc w:val="center"/>
              <w:rPr>
                <w:rFonts w:hint="eastAsia" w:ascii="宋体" w:hAnsi="宋体" w:cs="宋体"/>
                <w:color w:val="000000"/>
                <w:sz w:val="18"/>
                <w:szCs w:val="18"/>
              </w:rPr>
            </w:pPr>
          </w:p>
        </w:tc>
      </w:tr>
      <w:tr w14:paraId="02CA8C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7E368761">
            <w:pPr>
              <w:spacing w:line="240" w:lineRule="auto"/>
              <w:jc w:val="center"/>
              <w:rPr>
                <w:rFonts w:hint="eastAsia" w:ascii="宋体" w:hAnsi="宋体" w:cs="宋体"/>
                <w:color w:val="000000"/>
                <w:sz w:val="18"/>
                <w:szCs w:val="18"/>
              </w:rPr>
            </w:pPr>
          </w:p>
        </w:tc>
        <w:tc>
          <w:tcPr>
            <w:tcW w:w="1682" w:type="pct"/>
            <w:vAlign w:val="center"/>
          </w:tcPr>
          <w:p w14:paraId="0CF499FD">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10%顺势氯氰菊酯乳油</w:t>
            </w:r>
          </w:p>
        </w:tc>
        <w:tc>
          <w:tcPr>
            <w:tcW w:w="653" w:type="pct"/>
            <w:vAlign w:val="center"/>
          </w:tcPr>
          <w:p w14:paraId="1EC43B3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582" w:type="pct"/>
            <w:vAlign w:val="center"/>
          </w:tcPr>
          <w:p w14:paraId="69210260">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326502B4">
            <w:pPr>
              <w:spacing w:line="240" w:lineRule="auto"/>
              <w:jc w:val="center"/>
              <w:rPr>
                <w:rFonts w:hint="eastAsia" w:ascii="宋体" w:hAnsi="宋体" w:cs="宋体"/>
                <w:color w:val="000000"/>
                <w:sz w:val="18"/>
                <w:szCs w:val="18"/>
              </w:rPr>
            </w:pPr>
          </w:p>
        </w:tc>
        <w:tc>
          <w:tcPr>
            <w:tcW w:w="538" w:type="pct"/>
            <w:vMerge w:val="continue"/>
            <w:vAlign w:val="center"/>
          </w:tcPr>
          <w:p w14:paraId="68258775">
            <w:pPr>
              <w:spacing w:line="240" w:lineRule="auto"/>
              <w:jc w:val="center"/>
              <w:rPr>
                <w:rFonts w:hint="eastAsia" w:ascii="宋体" w:hAnsi="宋体" w:cs="宋体"/>
                <w:color w:val="000000"/>
                <w:sz w:val="18"/>
                <w:szCs w:val="18"/>
              </w:rPr>
            </w:pPr>
          </w:p>
        </w:tc>
      </w:tr>
      <w:tr w14:paraId="7A4686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2" w:hRule="atLeast"/>
        </w:trPr>
        <w:tc>
          <w:tcPr>
            <w:tcW w:w="533" w:type="pct"/>
            <w:vMerge w:val="continue"/>
            <w:vAlign w:val="center"/>
          </w:tcPr>
          <w:p w14:paraId="2F6C259E">
            <w:pPr>
              <w:spacing w:line="240" w:lineRule="auto"/>
              <w:jc w:val="center"/>
              <w:rPr>
                <w:rFonts w:hint="eastAsia" w:ascii="宋体" w:hAnsi="宋体" w:cs="宋体"/>
                <w:color w:val="000000"/>
                <w:sz w:val="18"/>
                <w:szCs w:val="18"/>
              </w:rPr>
            </w:pPr>
          </w:p>
        </w:tc>
        <w:tc>
          <w:tcPr>
            <w:tcW w:w="1682" w:type="pct"/>
            <w:vAlign w:val="center"/>
          </w:tcPr>
          <w:p w14:paraId="62EBF624">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25%噻嗪酮可湿性粉剂</w:t>
            </w:r>
          </w:p>
        </w:tc>
        <w:tc>
          <w:tcPr>
            <w:tcW w:w="653" w:type="pct"/>
            <w:vAlign w:val="center"/>
          </w:tcPr>
          <w:p w14:paraId="114EA87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1000～1200</w:t>
            </w:r>
          </w:p>
        </w:tc>
        <w:tc>
          <w:tcPr>
            <w:tcW w:w="582" w:type="pct"/>
            <w:vAlign w:val="center"/>
          </w:tcPr>
          <w:p w14:paraId="11A16121">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喷雾</w:t>
            </w:r>
          </w:p>
        </w:tc>
        <w:tc>
          <w:tcPr>
            <w:tcW w:w="1010" w:type="pct"/>
            <w:vMerge w:val="continue"/>
            <w:vAlign w:val="center"/>
          </w:tcPr>
          <w:p w14:paraId="7717F38B">
            <w:pPr>
              <w:spacing w:line="240" w:lineRule="auto"/>
              <w:jc w:val="center"/>
              <w:rPr>
                <w:rFonts w:hint="eastAsia" w:ascii="宋体" w:hAnsi="宋体" w:cs="宋体"/>
                <w:color w:val="000000"/>
                <w:sz w:val="18"/>
                <w:szCs w:val="18"/>
              </w:rPr>
            </w:pPr>
          </w:p>
        </w:tc>
        <w:tc>
          <w:tcPr>
            <w:tcW w:w="538" w:type="pct"/>
            <w:vMerge w:val="continue"/>
            <w:vAlign w:val="center"/>
          </w:tcPr>
          <w:p w14:paraId="6CE7236A">
            <w:pPr>
              <w:spacing w:line="240" w:lineRule="auto"/>
              <w:jc w:val="center"/>
              <w:rPr>
                <w:rFonts w:hint="eastAsia" w:ascii="宋体" w:hAnsi="宋体" w:cs="宋体"/>
                <w:color w:val="000000"/>
                <w:sz w:val="18"/>
                <w:szCs w:val="18"/>
              </w:rPr>
            </w:pPr>
          </w:p>
        </w:tc>
      </w:tr>
    </w:tbl>
    <w:p w14:paraId="37766EC6">
      <w:pPr>
        <w:rPr>
          <w:rFonts w:hint="eastAsia"/>
        </w:rPr>
      </w:pPr>
    </w:p>
    <w:p w14:paraId="55846404">
      <w:pPr>
        <w:jc w:val="center"/>
      </w:pPr>
      <w:r>
        <w:rPr>
          <w:rFonts w:hint="eastAsia"/>
        </w:rPr>
        <w:drawing>
          <wp:inline distT="0" distB="0" distL="0" distR="0">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208F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38EA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05A38">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655E">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7C7E6">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B411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75A0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B7CC">
    <w:pPr>
      <w:pStyle w:val="65"/>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1559"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283" w:firstLine="0"/>
      </w:pPr>
      <w:rPr>
        <w:rFonts w:hint="eastAsia" w:ascii="黑体" w:eastAsia="黑体"/>
        <w:b w:val="0"/>
        <w:i w:val="0"/>
        <w:sz w:val="21"/>
      </w:rPr>
    </w:lvl>
    <w:lvl w:ilvl="2" w:tentative="0">
      <w:start w:val="1"/>
      <w:numFmt w:val="decimal"/>
      <w:pStyle w:val="109"/>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2E9"/>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AD5"/>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03E"/>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E44"/>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1C8"/>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3A7523B"/>
    <w:rsid w:val="07EF5252"/>
    <w:rsid w:val="0826544E"/>
    <w:rsid w:val="08DB0F32"/>
    <w:rsid w:val="11060C53"/>
    <w:rsid w:val="24C26FA6"/>
    <w:rsid w:val="26C82522"/>
    <w:rsid w:val="31D17E14"/>
    <w:rsid w:val="32122CD4"/>
    <w:rsid w:val="425F59DD"/>
    <w:rsid w:val="43326C5C"/>
    <w:rsid w:val="48BE1DD5"/>
    <w:rsid w:val="5AFF8DC7"/>
    <w:rsid w:val="5BFF4CB9"/>
    <w:rsid w:val="5C885101"/>
    <w:rsid w:val="5E27188E"/>
    <w:rsid w:val="602E34A0"/>
    <w:rsid w:val="63543A33"/>
    <w:rsid w:val="6474620B"/>
    <w:rsid w:val="64E34CDB"/>
    <w:rsid w:val="6B8B2A02"/>
    <w:rsid w:val="6EF7FF56"/>
    <w:rsid w:val="73FF26E3"/>
    <w:rsid w:val="74FEF168"/>
    <w:rsid w:val="769F085A"/>
    <w:rsid w:val="7B1650E9"/>
    <w:rsid w:val="7BBB2402"/>
    <w:rsid w:val="7BF64F21"/>
    <w:rsid w:val="7CAB7D64"/>
    <w:rsid w:val="7FCBBE16"/>
    <w:rsid w:val="7FDCAD6D"/>
    <w:rsid w:val="916DDC67"/>
    <w:rsid w:val="ABE79F2B"/>
    <w:rsid w:val="DDDF92C6"/>
    <w:rsid w:val="DEFFB27F"/>
    <w:rsid w:val="E5D416A9"/>
    <w:rsid w:val="E6DA7E3A"/>
    <w:rsid w:val="EB7D983B"/>
    <w:rsid w:val="EB7F2AAF"/>
    <w:rsid w:val="EEFF0BC7"/>
    <w:rsid w:val="EF4DAF48"/>
    <w:rsid w:val="F7B7322A"/>
    <w:rsid w:val="FBFF01D9"/>
    <w:rsid w:val="FDB7186C"/>
    <w:rsid w:val="FDFFC637"/>
    <w:rsid w:val="FF96A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style>
  <w:style w:type="paragraph" w:customStyle="1" w:styleId="193">
    <w:name w:val="标准文件_一级项2"/>
    <w:basedOn w:val="60"/>
    <w:qFormat/>
    <w:uiPriority w:val="0"/>
    <w:pPr>
      <w:numPr>
        <w:ilvl w:val="0"/>
        <w:numId w:val="31"/>
      </w:numPr>
      <w:spacing w:line="300" w:lineRule="exact"/>
      <w:ind w:firstLineChars="0"/>
    </w:p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wrap="around"/>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字符"/>
    <w:basedOn w:val="31"/>
    <w:link w:val="13"/>
    <w:qFormat/>
    <w:uiPriority w:val="99"/>
    <w:rPr>
      <w:kern w:val="2"/>
      <w:sz w:val="21"/>
      <w:szCs w:val="21"/>
    </w:rPr>
  </w:style>
  <w:style w:type="character" w:customStyle="1" w:styleId="235">
    <w:name w:val="批注主题 字符"/>
    <w:basedOn w:val="234"/>
    <w:link w:val="28"/>
    <w:semiHidden/>
    <w:qFormat/>
    <w:uiPriority w:val="99"/>
    <w:rPr>
      <w:b/>
      <w:bCs/>
      <w:kern w:val="2"/>
      <w:sz w:val="21"/>
      <w:szCs w:val="21"/>
    </w:rPr>
  </w:style>
  <w:style w:type="paragraph" w:customStyle="1" w:styleId="236">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450442AA">
          <w:pPr>
            <w:pStyle w:val="5"/>
            <w:rPr>
              <w:rFonts w:hint="eastAsia"/>
            </w:rPr>
          </w:pPr>
          <w:r>
            <w:rPr>
              <w:rStyle w:val="4"/>
              <w:rFonts w:hint="eastAsia"/>
            </w:rPr>
            <w:t>单击或点击此处输入文字。</w:t>
          </w:r>
        </w:p>
      </w:docPartBody>
    </w:docPart>
    <w:docPart>
      <w:docPartPr>
        <w:name w:val="EF842793D7364FEE9EEA5FC1636E3FA3"/>
        <w:style w:val=""/>
        <w:category>
          <w:name w:val="常规"/>
          <w:gallery w:val="placeholder"/>
        </w:category>
        <w:types>
          <w:type w:val="bbPlcHdr"/>
        </w:types>
        <w:behaviors>
          <w:behavior w:val="content"/>
        </w:behaviors>
        <w:description w:val=""/>
        <w:guid w:val="{49A47885-DF5F-41E7-A18A-0EE027DCE7CA}"/>
      </w:docPartPr>
      <w:docPartBody>
        <w:p w14:paraId="4211C23C">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3C8EC2E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1271"/>
    <w:rsid w:val="000B595D"/>
    <w:rsid w:val="000D3261"/>
    <w:rsid w:val="00196583"/>
    <w:rsid w:val="002352F4"/>
    <w:rsid w:val="0035502A"/>
    <w:rsid w:val="00892CF3"/>
    <w:rsid w:val="008B12A3"/>
    <w:rsid w:val="00992C40"/>
    <w:rsid w:val="00C03E44"/>
    <w:rsid w:val="00C7569E"/>
    <w:rsid w:val="00EF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F842793D7364FEE9EEA5FC1636E3FA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3939</Words>
  <Characters>4344</Characters>
  <Lines>283</Lines>
  <Paragraphs>278</Paragraphs>
  <TotalTime>23</TotalTime>
  <ScaleCrop>false</ScaleCrop>
  <LinksUpToDate>false</LinksUpToDate>
  <CharactersWithSpaces>4451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2024-04-08T10:04:00Z</dcterms:created>
  <dc:creator>WuYong</dc:creator>
  <dc:description>&lt;config cover="true" show_menu="true" version="1.0.0" doctype="SDKXY"&gt;_x000d_
&lt;/config&gt;</dc:description>
  <cp:lastModifiedBy>吴勇</cp:lastModifiedBy>
  <cp:lastPrinted>2021-02-08T16:22:00Z</cp:lastPrinted>
  <dcterms:modified xsi:type="dcterms:W3CDTF">2025-09-17T00:57:32Z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5E77AF74E2FA49F889E6563D74CC98CE_12</vt:lpwstr>
  </property>
  <property fmtid="{D5CDD505-2E9C-101B-9397-08002B2CF9AE}" pid="16" name="KSOTemplateDocerSaveRecord">
    <vt:lpwstr>eyJoZGlkIjoiODIwN2QzZWEyYWIxODZiZjA0MjIwNjBlZjFkMjk4NWYiLCJ1c2VySWQiOiIyOTY3MzMxOSJ9</vt:lpwstr>
  </property>
</Properties>
</file>